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佛山市佛山标准和卓越绩效管理促进会</w:t>
      </w:r>
    </w:p>
    <w:p>
      <w:pPr>
        <w:widowControl/>
        <w:spacing w:before="163" w:beforeLines="50" w:line="480" w:lineRule="auto"/>
        <w:jc w:val="center"/>
        <w:rPr>
          <w:rFonts w:ascii="黑体" w:hAnsi="宋体" w:eastAsia="黑体" w:cs="黑体"/>
          <w:sz w:val="36"/>
          <w:szCs w:val="36"/>
          <w:lang w:eastAsia="zh-CN"/>
        </w:rPr>
      </w:pPr>
      <w:r>
        <w:rPr>
          <w:rFonts w:hint="eastAsia" w:ascii="黑体" w:hAnsi="宋体" w:eastAsia="黑体" w:cs="黑体"/>
          <w:sz w:val="36"/>
          <w:szCs w:val="36"/>
          <w:lang w:eastAsia="zh-CN"/>
        </w:rPr>
        <w:t>《佛山标准</w:t>
      </w:r>
      <w:r>
        <w:rPr>
          <w:rFonts w:hint="eastAsia" w:ascii="黑体" w:hAnsi="宋体" w:eastAsia="黑体" w:cs="黑体"/>
          <w:sz w:val="36"/>
          <w:szCs w:val="36"/>
          <w:lang w:val="en-US" w:eastAsia="zh-CN"/>
        </w:rPr>
        <w:t xml:space="preserve"> </w:t>
      </w:r>
      <w:r>
        <w:rPr>
          <w:rFonts w:hint="eastAsia" w:ascii="黑体" w:hAnsi="宋体" w:eastAsia="黑体" w:cs="黑体"/>
          <w:sz w:val="36"/>
          <w:szCs w:val="36"/>
          <w:lang w:eastAsia="zh-CN"/>
        </w:rPr>
        <w:t>自动导引车》团体标准编制说明</w:t>
      </w:r>
    </w:p>
    <w:p>
      <w:pPr>
        <w:widowControl/>
        <w:spacing w:line="720" w:lineRule="auto"/>
        <w:rPr>
          <w:sz w:val="28"/>
          <w:szCs w:val="28"/>
          <w:lang w:eastAsia="zh-CN"/>
        </w:rPr>
      </w:pPr>
      <w:r>
        <w:rPr>
          <w:rFonts w:ascii="黑体" w:hAnsi="宋体" w:eastAsia="黑体" w:cs="黑体"/>
          <w:sz w:val="28"/>
          <w:szCs w:val="28"/>
          <w:lang w:eastAsia="zh-CN"/>
        </w:rPr>
        <w:t>1 项目背景</w:t>
      </w:r>
    </w:p>
    <w:p>
      <w:pPr>
        <w:widowControl/>
        <w:numPr>
          <w:ilvl w:val="1"/>
          <w:numId w:val="8"/>
        </w:numPr>
        <w:spacing w:line="720" w:lineRule="auto"/>
        <w:rPr>
          <w:rFonts w:hint="eastAsia" w:ascii="黑体" w:hAnsi="宋体" w:eastAsia="黑体" w:cs="黑体"/>
          <w:sz w:val="28"/>
          <w:szCs w:val="28"/>
          <w:lang w:eastAsia="zh-CN"/>
        </w:rPr>
      </w:pPr>
      <w:r>
        <w:rPr>
          <w:rFonts w:hint="eastAsia" w:ascii="黑体" w:hAnsi="宋体" w:eastAsia="黑体" w:cs="黑体"/>
          <w:sz w:val="28"/>
          <w:szCs w:val="28"/>
          <w:lang w:eastAsia="zh-CN"/>
        </w:rPr>
        <w:t xml:space="preserve"> 产业背景</w:t>
      </w:r>
    </w:p>
    <w:p>
      <w:pPr>
        <w:spacing w:line="360" w:lineRule="auto"/>
        <w:ind w:firstLine="560" w:firstLineChars="200"/>
        <w:jc w:val="both"/>
        <w:rPr>
          <w:rFonts w:hint="eastAsia"/>
          <w:lang w:val="en-US" w:eastAsia="zh-CN"/>
        </w:rPr>
      </w:pPr>
      <w:r>
        <w:rPr>
          <w:rFonts w:hint="eastAsia" w:ascii="仿宋" w:hAnsi="仿宋" w:eastAsia="仿宋" w:cs="仿宋"/>
          <w:sz w:val="28"/>
          <w:szCs w:val="28"/>
          <w:lang w:val="en-US" w:eastAsia="zh-CN"/>
        </w:rPr>
        <w:t>根据美国物料搬运协会(AmericaMaterial Handling Association)的定义,自动导引车（AGV）是一种以充电电池为动力，自动导引的无人驾驶自动化车辆，它能在计算机的监控下，按路径规划和作业要求,精确行走并停靠到指定地点、完成取货、送货、充电等一系列作业任务。。自动引导车辆的应用在20世纪后期扩大了。</w:t>
      </w:r>
    </w:p>
    <w:p>
      <w:pPr>
        <w:spacing w:line="36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一、AGV技术国内外发展概述</w:t>
      </w:r>
    </w:p>
    <w:p>
      <w:pPr>
        <w:spacing w:line="360"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福特汽车公司于1913年将最早的自动搬运车应用到汽车底盘装配上，体现了无人搬运车的优越性。但当时是有轨道导引的(现在称为RGV)。到了上世纪50年代中期，英国人首先去掉了地面上的导引轨道，采用地板下埋线的方式，组成以电磁感应导引的AGVS，1959年AGV应用到仓储自动化领域和企业生产作业中。</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上世纪60年代，计算机技术开始应用于AGV系统的管理和控制系统中，AGV系统从自动化仓储进入到柔性加工生产系统(FMS)中，从而使AGV 得到了迅速的发展。虽然</w:t>
      </w:r>
      <w:r>
        <w:rPr>
          <w:rFonts w:hint="default" w:ascii="仿宋" w:hAnsi="仿宋" w:eastAsia="仿宋" w:cs="仿宋"/>
          <w:sz w:val="28"/>
          <w:szCs w:val="28"/>
          <w:lang w:val="en-US" w:eastAsia="zh-CN"/>
        </w:rPr>
        <w:t>AGV</w:t>
      </w:r>
      <w:r>
        <w:rPr>
          <w:rFonts w:hint="eastAsia" w:ascii="仿宋" w:hAnsi="仿宋" w:eastAsia="仿宋" w:cs="仿宋"/>
          <w:sz w:val="28"/>
          <w:szCs w:val="28"/>
          <w:lang w:val="en-US" w:eastAsia="zh-CN"/>
        </w:rPr>
        <w:t>首先出现在美国，却在欧洲迅速得到发展和推广应用，并成为制造和装配作业过程中一种流行的物料</w:t>
      </w:r>
      <w:r>
        <w:rPr>
          <w:rFonts w:hint="eastAsia" w:ascii="仿宋" w:hAnsi="仿宋" w:eastAsia="仿宋" w:cs="仿宋"/>
          <w:sz w:val="28"/>
          <w:szCs w:val="28"/>
          <w:lang w:eastAsia="zh-CN"/>
        </w:rPr>
        <w:t>搬运设备。</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在我国，北京起重运输机械研究所(现为“北京起重运输机械研究院”)于1976年研制出第一台ADB型A。邮电部北京邮政科学研究所为上海新火车站邮政枢纽、济南军区仓库研究试制的WZC及WZC-1两种AGV，1991年投人了运行。中科院沈阳自动化所在国家“863”计划支持下，完成了多项移动机器人应用基础研究和应用技术开发项目，并开发出应用于实践较为成熟的AC(电磁导引)及其系统技术。</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二、AGV关键技术现状</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A</w:t>
      </w:r>
      <w:r>
        <w:rPr>
          <w:rFonts w:hint="eastAsia" w:ascii="仿宋" w:hAnsi="仿宋" w:eastAsia="仿宋" w:cs="仿宋"/>
          <w:sz w:val="28"/>
          <w:szCs w:val="28"/>
          <w:lang w:val="en-US" w:eastAsia="zh-CN"/>
        </w:rPr>
        <w:t>G</w:t>
      </w:r>
      <w:r>
        <w:rPr>
          <w:rFonts w:hint="eastAsia" w:ascii="仿宋" w:hAnsi="仿宋" w:eastAsia="仿宋" w:cs="仿宋"/>
          <w:sz w:val="28"/>
          <w:szCs w:val="28"/>
          <w:lang w:eastAsia="zh-CN"/>
        </w:rPr>
        <w:t>V系统主要包括：AGV管理监控调度系统、AGV车载控制系统、AGV自主定位及导引系统、AGV运动控制驱动系统、AGV能源系统、AGV无线通讯系统等。</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1、AGV管理监控系统</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AGV管理监控调度系统的主要功能是管理、监控和调度AGV执行搬运作业任务。</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管理监控计算机一方面与上一级的信息管理系统(SAPERP/WMS/MFS等)主机进行通讯，产生、发送以及回馈搬运作业任务，另一方面通过无线网络系统与 AGV进行通讯，按照一定规则发送物料的搬运任务，并进行智能化交通管理、自动调度相应的AGV完成搬运物料任务，同时接受AGV反馈的状态信息，监控系统的任务执行情况，并向上一级信息管理系统主机报告任务的执行情况。</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AGV管理监控系统是一个复杂的软、硬件系统，目前国内外中高端的AGV系统均有AGV管理监控系统。硬件由服务器、管理监控计算机网络通讯系统以及相关接口等组成;软件由相关的数据库管理系统、管理监控调度软件等组成。</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A</w:t>
      </w:r>
      <w:r>
        <w:rPr>
          <w:rFonts w:hint="eastAsia" w:ascii="仿宋" w:hAnsi="仿宋" w:eastAsia="仿宋" w:cs="仿宋"/>
          <w:sz w:val="28"/>
          <w:szCs w:val="28"/>
          <w:lang w:val="en-US" w:eastAsia="zh-CN"/>
        </w:rPr>
        <w:t>G</w:t>
      </w:r>
      <w:r>
        <w:rPr>
          <w:rFonts w:hint="eastAsia" w:ascii="仿宋" w:hAnsi="仿宋" w:eastAsia="仿宋" w:cs="仿宋"/>
          <w:sz w:val="28"/>
          <w:szCs w:val="28"/>
          <w:lang w:eastAsia="zh-CN"/>
        </w:rPr>
        <w:t>V管理监控调度软件是系统重要核心技术之一。系统软件的成熟程度以及国外软件技术不开放共同制约了国内AGV的发展与推广。近年来，管理监控调度软件的研发工作得到了重视，国内AGV生产厂家纷纷建立自己的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管理监控调度软件系统研发平台，研制出自己的AGV 管理监控调度软件产品。</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2、AGV车载控制器</w:t>
      </w:r>
    </w:p>
    <w:p>
      <w:pPr>
        <w:spacing w:line="360" w:lineRule="auto"/>
        <w:ind w:firstLine="560" w:firstLineChars="200"/>
        <w:jc w:val="both"/>
        <w:rPr>
          <w:rFonts w:hint="eastAsia" w:ascii="仿宋" w:hAnsi="仿宋" w:eastAsia="仿宋" w:cs="仿宋"/>
          <w:sz w:val="28"/>
          <w:szCs w:val="28"/>
          <w:lang w:eastAsia="zh-CN"/>
        </w:rPr>
      </w:pP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车载控制器是AGV控制系统的核心，负责完成人机交互、路径规划、任务执行、定位与导航控制、电源管理、自主避障、安全信息提示,以及与AGV管理监控计算机进行通讯，反馈AGV的当前状态，并接受A</w:t>
      </w:r>
      <w:r>
        <w:rPr>
          <w:rFonts w:hint="eastAsia" w:ascii="仿宋" w:hAnsi="仿宋" w:eastAsia="仿宋" w:cs="仿宋"/>
          <w:sz w:val="28"/>
          <w:szCs w:val="28"/>
          <w:lang w:val="en-US" w:eastAsia="zh-CN"/>
        </w:rPr>
        <w:t>G</w:t>
      </w:r>
      <w:r>
        <w:rPr>
          <w:rFonts w:hint="eastAsia" w:ascii="仿宋" w:hAnsi="仿宋" w:eastAsia="仿宋" w:cs="仿宋"/>
          <w:sz w:val="28"/>
          <w:szCs w:val="28"/>
          <w:lang w:eastAsia="zh-CN"/>
        </w:rPr>
        <w:t>V管理监控系统的调度和工作指令等任务。AGV车载控制器的性能和可靠性直接影响A</w:t>
      </w:r>
      <w:r>
        <w:rPr>
          <w:rFonts w:hint="eastAsia" w:ascii="仿宋" w:hAnsi="仿宋" w:eastAsia="仿宋" w:cs="仿宋"/>
          <w:sz w:val="28"/>
          <w:szCs w:val="28"/>
          <w:lang w:val="en-US" w:eastAsia="zh-CN"/>
        </w:rPr>
        <w:t>G</w:t>
      </w:r>
      <w:r>
        <w:rPr>
          <w:rFonts w:hint="eastAsia" w:ascii="仿宋" w:hAnsi="仿宋" w:eastAsia="仿宋" w:cs="仿宋"/>
          <w:sz w:val="28"/>
          <w:szCs w:val="28"/>
          <w:lang w:eastAsia="zh-CN"/>
        </w:rPr>
        <w:t>V产品的性能和可靠性。</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早期的 AGV车载控制器硬件通常采用工控机或通用PC作为主控单元，通过比较复杂的控制软件和多种ADD、DA接口完成人机交百、路径设定、任务调度、定位与导航控制、运动控制、电源管理、自主避障、安全信息提示、并与管理监控计算机进行通讯、反馈AGV的当前状态、接受调度和工作指令等任务。</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近年来，随着计算机技术的飞速发展，嵌入式计算机的软硬件水平都得到很大提高，已经可以满足A</w:t>
      </w:r>
      <w:r>
        <w:rPr>
          <w:rFonts w:hint="eastAsia" w:ascii="仿宋" w:hAnsi="仿宋" w:eastAsia="仿宋" w:cs="仿宋"/>
          <w:sz w:val="28"/>
          <w:szCs w:val="28"/>
          <w:lang w:val="en-US" w:eastAsia="zh-CN"/>
        </w:rPr>
        <w:t>G</w:t>
      </w:r>
      <w:r>
        <w:rPr>
          <w:rFonts w:hint="eastAsia" w:ascii="仿宋" w:hAnsi="仿宋" w:eastAsia="仿宋" w:cs="仿宋"/>
          <w:sz w:val="28"/>
          <w:szCs w:val="28"/>
          <w:lang w:eastAsia="zh-CN"/>
        </w:rPr>
        <w:t>V产品的各种需要。此外，与工控机相比，嵌入式计算机系统具有结构紧凑、成本低、功耗小等明显优势面这些对于必须使用自身携带电源的A</w:t>
      </w:r>
      <w:r>
        <w:rPr>
          <w:rFonts w:hint="eastAsia" w:ascii="仿宋" w:hAnsi="仿宋" w:eastAsia="仿宋" w:cs="仿宋"/>
          <w:sz w:val="28"/>
          <w:szCs w:val="28"/>
          <w:lang w:val="en-US" w:eastAsia="zh-CN"/>
        </w:rPr>
        <w:t>G</w:t>
      </w:r>
      <w:r>
        <w:rPr>
          <w:rFonts w:hint="eastAsia" w:ascii="仿宋" w:hAnsi="仿宋" w:eastAsia="仿宋" w:cs="仿宋"/>
          <w:sz w:val="28"/>
          <w:szCs w:val="28"/>
          <w:lang w:eastAsia="zh-CN"/>
        </w:rPr>
        <w:t>V产品尤其重要。因此，AGV车载控制器硬件采用嵌入式计算机系统将是未来的技术发展趋势</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3、自主定位及导航系统</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AGW可以按照自主程度、用途和结构形式、导航方式等进行分类。</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(1)电磁感应导引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该导引方式的基本工作原理为在</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的行驶路径上埋设金属导线，并加载低频、低压电流，使导线局围产生磁场，</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上的感应线圈通过对导航磁场强弱的识别和跟隐蔽，不易污染和破损，导航原理简单面可靠，无声光干扰，制造成本较低;而主要缺点则为路径更改的灵活性差，调整变动麻烦，感应线圈对周围的铁磁物质较敏感，对于一些路线比较简单，且需要24小时连续作业的工况(比如发动机等装配生产线)配合非接触供电系统的应用目前在国外较为常见。</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(2)磁带、磁点导引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该导引方式的基本工作原理为:在A的行驶路径上贴带或打点，通过磁感应信号实现导引。目前，磁带、磁点导引技术成熟，应用也较为广泛。</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该引导方式的主要优点为改变或扩充路径较容易，磁带、磁点的安装简单;而主要缺点则为易受</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行走路径周围的金属物质的干扰。此外，由于磁带外露，容易受到机械损伤和污染，导航的稳定性受环境影响较大，因此近年来此类 </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较多采用磁点导引方式。</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(3)光学导引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该导引方式的基本工作原理为</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在</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行驶路径上涂漆或粘贴色带，通过对光学传感器采入的色带图像信号进行识别实现导引。此外，用CCD摄像机和图像处理系统代普通的光学传感器可以有效提高导引系统的可靠性。目前，光学导引技术成熟，应用也较为广泛。</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该导引方式与磁带导引方式比较类似,其主要优点为灵活性比较好,地面路线设置十分简单;而主要缺点则为易受色带污染和磨损的影响，对环境要求较高，导引可靠性受制于地面条件，停位精度比较低。</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(4)激光导引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该导引方式的基本工作原理为</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EAGV行驶路径的周围安装位置精确的激光反射板，安装在</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上的激光定位装置发射激光束并且采集由不同角度的反射板反射回来的信号，根据三角几何运算来确定其当前的位置和方向，实现AGV的导引。目前，激光导引技术比较成熟，应用也较为广泛。</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该导引方式的主要优点为定位精确，能适应复杂的路径条件及工作环境，能快速变更行驶路径和修改运行参数;主要缺点则为激光定位装置成本较高。</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(5)视觉导引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该导引方式的基本工作原理为：在AGV上安装CCD摄像机:AGN在行驶过程中通过视觉传感器采集图像信息，并通过对图像信息的处理确定</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的当前位置(识别给定路标 )。</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视觉导引方式具有路线设置灵活，适用范围广，成本低等优点，也是</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引导方式未来的发展方向。但是，由于利用车载视觉系统快速准确地实现路标识别这一技术瓶颈尚未得到突破，因此，目前该方法尚未进入实用阶段，随着计算机技术的发展及快速图像处理关键技术的突破，视觉导引技术将成为最具应用前景的 AGV导引技术</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(6)惯性导引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惯性导引方式的基本工作原理为：在AGV上安装陀螺仪,在行驶区域的地面上安装定位块，</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通过对陀螺仪偏差信号的计算及地面定位块信号的采集来确定自身的位置和方向，从而实现 </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 的自动导引。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惯性导引技术是AGV领域一项新兴的导引技术，其主要优点是技术先进，定位精度高，灵活性强。</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4、AGV运动控制系统</w:t>
      </w:r>
    </w:p>
    <w:p>
      <w:pPr>
        <w:spacing w:line="360" w:lineRule="auto"/>
        <w:ind w:firstLine="560" w:firstLineChars="200"/>
        <w:jc w:val="both"/>
        <w:rPr>
          <w:rFonts w:hint="eastAsia" w:ascii="仿宋" w:hAnsi="仿宋" w:eastAsia="仿宋" w:cs="仿宋"/>
          <w:sz w:val="28"/>
          <w:szCs w:val="28"/>
          <w:lang w:eastAsia="zh-CN"/>
        </w:rPr>
      </w:pP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作为移动机器人的一个分支,其驱动方式主要包括单舵轮驱动差速驱动和双舵轮驱动及多舵轮邬动等四种方式:多舵轮驱动一般用于载重10吨以上的AGV。</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5、电机驱动总成</w:t>
      </w:r>
    </w:p>
    <w:p>
      <w:pPr>
        <w:spacing w:line="360" w:lineRule="auto"/>
        <w:ind w:firstLine="560" w:firstLineChars="200"/>
        <w:jc w:val="both"/>
        <w:rPr>
          <w:rFonts w:hint="eastAsia" w:ascii="仿宋" w:hAnsi="仿宋" w:eastAsia="仿宋" w:cs="仿宋"/>
          <w:sz w:val="28"/>
          <w:szCs w:val="28"/>
          <w:lang w:eastAsia="zh-CN"/>
        </w:rPr>
      </w:pP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的电机驱动总成由伺服电机和减速机组成，用于AGV本体驱动以及装卸载机构的驱动，是AC的核心部件，对</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的成本和性能影响很大。目前国内电机驱动总成与国外相比仍有较大差距，国产</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产品大多采用进口电机驱动总成及驱动器产品，成本很高。</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目前在国外，以低压交流电机为核心的交流电机驱动总成因其效率高、维护成本低，被广泛应用于币载AGV驱动系统中。国外</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产品供应商竞相推出了性能更佳的交流电机驱动AGV，将其作为参与全球市场竞争的制胜砝码。</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6、AGV能源系统</w:t>
      </w:r>
    </w:p>
    <w:p>
      <w:pPr>
        <w:spacing w:line="360" w:lineRule="auto"/>
        <w:ind w:firstLine="560" w:firstLineChars="200"/>
        <w:jc w:val="both"/>
        <w:rPr>
          <w:rFonts w:hint="eastAsia" w:ascii="仿宋" w:hAnsi="仿宋" w:eastAsia="仿宋" w:cs="仿宋"/>
          <w:sz w:val="28"/>
          <w:szCs w:val="28"/>
          <w:lang w:eastAsia="zh-CN"/>
        </w:rPr>
      </w:pP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能源系统是AGV的关键系统之一，包括电池智能充电管理系统、智能电池充电机、电池电量检测和电池。</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AGV用蓄电池的特性对</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单机的设计影响很大，目前国内外厂家采用的蓄电池主要分铅酸电池和镉镍电池两大类。铅酸蓄电池充放电倍率低,适合慢充慢放，充电时间长，连续工作时间也较长;而镐镍蓄电池充放电倍率较高，适应快充快放，充电时间短，连续工作时间比铅酸电池较短;一般如生产的间歇性、工作班次、AGV的运行时间来选择合适的蓄电池。</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在一些应用场合，如AGV行驶路径为固定路径，可用非接触感应供电取代电池供电，非接触感应供电方式由车载控制器通过耦合取电板从地下敷设的高颗恒流线路上获取电能，经车载AC-DC转换后供给车载元件，从而实现了</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在运动中非接触感应供电。</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7、AGV无线通讯系统</w:t>
      </w:r>
    </w:p>
    <w:p>
      <w:pPr>
        <w:spacing w:line="360" w:lineRule="auto"/>
        <w:ind w:firstLine="560" w:firstLineChars="200"/>
        <w:jc w:val="both"/>
        <w:rPr>
          <w:rFonts w:hint="eastAsia" w:ascii="仿宋" w:hAnsi="仿宋" w:eastAsia="仿宋" w:cs="仿宋"/>
          <w:sz w:val="28"/>
          <w:szCs w:val="28"/>
          <w:lang w:eastAsia="zh-CN"/>
        </w:rPr>
      </w:pP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系统中有多台ACW同时工作，为了指挥各台 </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按照 </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管理系统所接受的任务协调地工作(即对AG指派任务、进行交通管理等),所有的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以及系统中的其它自动化物流设备均由CV管理监计算机进行统一控制。AGV需要将当前的状态报告给</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管理监控计算机，其与</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之间的数据交换需要通过通讯系统来完成。有固定运行线路的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可以通过在运行线路上埋设的导线进行感应通讯，而全方位运行的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由于没有固定的运行线路，所以一般是使用无线通讯方式与主机交换数据，当车间中干扰源较多时，通讯系统必须有较高的可靠性，否则会引发AGV系统的误动作，目前国内外</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无线通讯系统大多采用无线以太网标准协议802.11的通用无线系统。无线通讯系统技术的提升和硬件成本的降低可以促进</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的发展。</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三、我国AGV技术研究情况</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我国面临着人口红利即消失、劳动力成本大幅攀升、训练有素的产业工人缺乏、招工难等问题，这些问题催生了市场对机器人需求快速增长的强大动力。国内业机器人的需求空前高涨。如何能够为企业提供高性价比的工业机器人是机器人研发、生产企业面临的重要课题</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根据目前</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发展具体现状及趋势，我国AGV技术的研究工作应贯彻以产品开发和市场需求带动技术研究，鼓励开展</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关键部件的技术研究工作以此带动</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产品技术水平的提高，根据市场需求的多样化，开展不同成本的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产品研发工作的原则。</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我国</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关键技术研究方向如下：</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管理监控调度系统：应开发基于50台以上AGV的管理度系统开发工作,开展人机交互技术远程监控技术、远程故障诊断技术的专项研究，提高我国自主知识产权的软件开发水平，以适应国内近年来</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的市场需求；</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车载控制器：研制基于嵌人式计算机系统的专用</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车载控制器，取代以采用工控机或通用PLC作为主控单元的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车载控制器是未来的技术发展趋势，也是今后研发工作的重点;</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随着制造业对</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需求量的增加，载荷在40吨以上的重载型</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的需求将快速增长，多能轮驱动的 </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 xml:space="preserve">研发显得尤为重要，应开展多舵轮驱动 </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运动学研究和多舵轮运动控制算法的研究工作；</w:t>
      </w:r>
    </w:p>
    <w:p>
      <w:pPr>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视觉导引技术将成为最具应用前景的</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导引技术，开展快速图像处理关键技术的研究工作，开展图像处理技术在</w:t>
      </w:r>
      <w:r>
        <w:rPr>
          <w:rFonts w:hint="default" w:ascii="仿宋" w:hAnsi="仿宋" w:eastAsia="仿宋" w:cs="仿宋"/>
          <w:sz w:val="28"/>
          <w:szCs w:val="28"/>
          <w:lang w:val="en-US" w:eastAsia="zh-CN"/>
        </w:rPr>
        <w:t>AGV</w:t>
      </w:r>
      <w:r>
        <w:rPr>
          <w:rFonts w:hint="eastAsia" w:ascii="仿宋" w:hAnsi="仿宋" w:eastAsia="仿宋" w:cs="仿宋"/>
          <w:sz w:val="28"/>
          <w:szCs w:val="28"/>
          <w:lang w:eastAsia="zh-CN"/>
        </w:rPr>
        <w:t>导引技术上的适应性研究工作，尽快使视觉导引技术在工程中实现成熟应用。</w:t>
      </w:r>
    </w:p>
    <w:p>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textAlignment w:val="auto"/>
        <w:rPr>
          <w:rFonts w:ascii="黑体" w:hAnsi="宋体" w:eastAsia="黑体" w:cs="黑体"/>
          <w:sz w:val="28"/>
          <w:szCs w:val="28"/>
          <w:lang w:eastAsia="zh-CN"/>
        </w:rPr>
      </w:pPr>
      <w:r>
        <w:rPr>
          <w:rFonts w:hint="eastAsia" w:ascii="仿宋" w:hAnsi="仿宋" w:eastAsia="仿宋" w:cs="仿宋"/>
          <w:sz w:val="28"/>
          <w:szCs w:val="28"/>
          <w:lang w:val="en-US" w:eastAsia="zh-CN"/>
        </w:rPr>
        <w:t>   </w:t>
      </w: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2</w:t>
      </w:r>
      <w:r>
        <w:rPr>
          <w:rFonts w:hint="eastAsia" w:ascii="黑体" w:hAnsi="宋体" w:eastAsia="黑体" w:cs="黑体"/>
          <w:sz w:val="28"/>
          <w:szCs w:val="28"/>
          <w:lang w:eastAsia="zh-CN"/>
        </w:rPr>
        <w:t xml:space="preserve">  提升方向</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通过打造佛山标准，树立优质区域品牌形象，有助于进一步做大做强产业。进一步提高</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 xml:space="preserve">的产品质量，引导行业有序、健康发展，树立和提升区域品牌形象。团体标准的提升方向具体如下： </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满足用户需求。随着产品品质的提高，用户不仅重视</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的基础功能，还更关注</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的</w:t>
      </w:r>
      <w:r>
        <w:rPr>
          <w:rFonts w:hint="eastAsia" w:ascii="仿宋" w:hAnsi="仿宋" w:eastAsia="仿宋" w:cs="仿宋"/>
          <w:sz w:val="28"/>
          <w:szCs w:val="28"/>
          <w:lang w:val="en-US" w:eastAsia="zh-CN"/>
        </w:rPr>
        <w:t>运行性能的先进性和</w:t>
      </w:r>
      <w:r>
        <w:rPr>
          <w:rFonts w:hint="eastAsia" w:ascii="仿宋" w:hAnsi="仿宋" w:eastAsia="仿宋" w:cs="仿宋"/>
          <w:sz w:val="28"/>
          <w:szCs w:val="28"/>
          <w:lang w:eastAsia="zh-CN"/>
        </w:rPr>
        <w:t>稳定性</w:t>
      </w:r>
      <w:r>
        <w:rPr>
          <w:rFonts w:hint="eastAsia" w:ascii="仿宋" w:hAnsi="仿宋" w:eastAsia="仿宋" w:cs="仿宋"/>
          <w:sz w:val="28"/>
          <w:szCs w:val="28"/>
          <w:lang w:val="en-US" w:eastAsia="zh-CN"/>
        </w:rPr>
        <w:t>及安全性、</w:t>
      </w:r>
      <w:r>
        <w:rPr>
          <w:rFonts w:hint="eastAsia" w:ascii="仿宋" w:hAnsi="仿宋" w:eastAsia="仿宋" w:cs="仿宋"/>
          <w:sz w:val="28"/>
          <w:szCs w:val="28"/>
          <w:lang w:eastAsia="zh-CN"/>
        </w:rPr>
        <w:t>可靠性</w:t>
      </w:r>
      <w:r>
        <w:rPr>
          <w:rFonts w:hint="eastAsia" w:ascii="仿宋" w:hAnsi="仿宋" w:eastAsia="仿宋" w:cs="仿宋"/>
          <w:sz w:val="28"/>
          <w:szCs w:val="28"/>
          <w:lang w:val="en-US" w:eastAsia="zh-CN"/>
        </w:rPr>
        <w:t>等</w:t>
      </w:r>
      <w:r>
        <w:rPr>
          <w:rFonts w:hint="eastAsia" w:ascii="仿宋" w:hAnsi="仿宋" w:eastAsia="仿宋" w:cs="仿宋"/>
          <w:sz w:val="28"/>
          <w:szCs w:val="28"/>
          <w:lang w:eastAsia="zh-CN"/>
        </w:rPr>
        <w:t>，本标准编制过程充分考虑了用户的需求及提出的意见和建议。</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符合政策要求。当前政策对于安全性、自动化、智能化、</w:t>
      </w:r>
      <w:r>
        <w:rPr>
          <w:rFonts w:hint="eastAsia" w:ascii="仿宋" w:hAnsi="仿宋" w:eastAsia="仿宋" w:cs="仿宋"/>
          <w:sz w:val="28"/>
          <w:szCs w:val="28"/>
          <w:lang w:val="en-US" w:eastAsia="zh-CN"/>
        </w:rPr>
        <w:t>环保性</w:t>
      </w:r>
      <w:r>
        <w:rPr>
          <w:rFonts w:hint="eastAsia" w:ascii="仿宋" w:hAnsi="仿宋" w:eastAsia="仿宋" w:cs="仿宋"/>
          <w:sz w:val="28"/>
          <w:szCs w:val="28"/>
          <w:lang w:eastAsia="zh-CN"/>
        </w:rPr>
        <w:t>的要求不断提高，</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更加注重产品的安全性、自动性、智能性</w:t>
      </w:r>
      <w:r>
        <w:rPr>
          <w:rFonts w:hint="eastAsia" w:ascii="仿宋" w:hAnsi="仿宋" w:eastAsia="仿宋" w:cs="仿宋"/>
          <w:sz w:val="28"/>
          <w:szCs w:val="28"/>
          <w:lang w:val="en-US" w:eastAsia="zh-CN"/>
        </w:rPr>
        <w:t>和环保性</w:t>
      </w:r>
      <w:r>
        <w:rPr>
          <w:rFonts w:hint="eastAsia" w:ascii="仿宋" w:hAnsi="仿宋" w:eastAsia="仿宋" w:cs="仿宋"/>
          <w:sz w:val="28"/>
          <w:szCs w:val="28"/>
          <w:lang w:eastAsia="zh-CN"/>
        </w:rPr>
        <w:t>，符合政策导向和要求。本标准对</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产品的安全性、空载噪声等指标进行了考核。</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适应产品发展需要</w:t>
      </w:r>
      <w:r>
        <w:rPr>
          <w:rFonts w:ascii="仿宋" w:hAnsi="仿宋" w:eastAsia="仿宋" w:cs="仿宋"/>
          <w:sz w:val="28"/>
          <w:szCs w:val="28"/>
          <w:lang w:eastAsia="zh-CN"/>
        </w:rPr>
        <w:t>。</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属于较为成熟和具有高技术含量的产品，竞争激烈。为保证佛山地区</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的竞争优势，更好地扩大影响力，抢占国内外市场份额，需要打造更高水平的标准，比现有国家、行业标准的要求更高，把</w:t>
      </w:r>
      <w:r>
        <w:rPr>
          <w:rFonts w:hint="eastAsia" w:ascii="仿宋" w:hAnsi="仿宋" w:eastAsia="仿宋" w:cs="仿宋"/>
          <w:sz w:val="28"/>
          <w:szCs w:val="28"/>
          <w:lang w:val="en-US" w:eastAsia="zh-CN"/>
        </w:rPr>
        <w:t>自动导引车行业</w:t>
      </w:r>
      <w:r>
        <w:rPr>
          <w:rFonts w:hint="eastAsia" w:ascii="仿宋" w:hAnsi="仿宋" w:eastAsia="仿宋" w:cs="仿宋"/>
          <w:sz w:val="28"/>
          <w:szCs w:val="28"/>
          <w:lang w:eastAsia="zh-CN"/>
        </w:rPr>
        <w:t>做好做强，</w:t>
      </w:r>
      <w:r>
        <w:rPr>
          <w:rFonts w:hint="eastAsia" w:ascii="仿宋" w:hAnsi="仿宋" w:eastAsia="仿宋" w:cs="仿宋"/>
          <w:sz w:val="28"/>
          <w:szCs w:val="28"/>
          <w:lang w:val="en-US" w:eastAsia="zh-CN"/>
        </w:rPr>
        <w:t>并树立佛山品牌，及增强佛山品牌价值</w:t>
      </w:r>
      <w:r>
        <w:rPr>
          <w:rFonts w:hint="eastAsia" w:ascii="仿宋" w:hAnsi="仿宋" w:eastAsia="仿宋" w:cs="仿宋"/>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1.</w:t>
      </w:r>
      <w:r>
        <w:rPr>
          <w:rFonts w:hint="eastAsia" w:ascii="黑体" w:hAnsi="宋体" w:eastAsia="黑体" w:cs="黑体"/>
          <w:sz w:val="28"/>
          <w:szCs w:val="28"/>
          <w:lang w:val="en-US" w:eastAsia="zh-CN"/>
        </w:rPr>
        <w:t>3</w:t>
      </w:r>
      <w:r>
        <w:rPr>
          <w:rFonts w:hint="eastAsia" w:ascii="黑体" w:hAnsi="宋体" w:eastAsia="黑体" w:cs="黑体"/>
          <w:sz w:val="28"/>
          <w:szCs w:val="28"/>
          <w:lang w:eastAsia="zh-CN"/>
        </w:rPr>
        <w:t xml:space="preserve">  项目意义</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为更好地发展佛山市重点产业、优势产品，本标准根据佛山标准要求，定位于“国内领先、国际先进”的水平，充分考虑行业发展情况，使标准编制更趋于合理、科学、先进。满足当前客户对</w:t>
      </w:r>
      <w:r>
        <w:rPr>
          <w:rFonts w:hint="eastAsia" w:ascii="仿宋" w:hAnsi="仿宋" w:eastAsia="仿宋" w:cs="仿宋"/>
          <w:sz w:val="28"/>
          <w:szCs w:val="28"/>
          <w:lang w:val="en-US" w:eastAsia="zh-CN"/>
        </w:rPr>
        <w:t>自动导引车</w:t>
      </w:r>
      <w:r>
        <w:rPr>
          <w:rFonts w:hint="eastAsia" w:ascii="仿宋" w:hAnsi="仿宋" w:eastAsia="仿宋" w:cs="仿宋"/>
          <w:sz w:val="28"/>
          <w:szCs w:val="28"/>
          <w:lang w:eastAsia="zh-CN"/>
        </w:rPr>
        <w:t>的要求，提高产品国内外场竞争力，对行业健康、快速发展有促进和引领作用。执行本标准有助于提升产品质量水平，扩大品牌影响力，提高企业竞争力，带动和引领佛山市制造业向高水平领域发展，以实现我市产品质量水平明显提升，推动佛山品牌、佛山产品更好地走出去。</w:t>
      </w:r>
    </w:p>
    <w:p>
      <w:pPr>
        <w:widowControl/>
        <w:spacing w:line="720" w:lineRule="auto"/>
        <w:rPr>
          <w:sz w:val="28"/>
          <w:szCs w:val="28"/>
          <w:lang w:eastAsia="zh-CN"/>
        </w:rPr>
      </w:pPr>
      <w:r>
        <w:rPr>
          <w:rFonts w:hint="eastAsia" w:ascii="黑体" w:hAnsi="宋体" w:eastAsia="黑体" w:cs="黑体"/>
          <w:sz w:val="28"/>
          <w:szCs w:val="28"/>
          <w:lang w:eastAsia="zh-CN"/>
        </w:rPr>
        <w:t>2   标准制定工作概况</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2.1  准备工作</w:t>
      </w:r>
    </w:p>
    <w:p>
      <w:pPr>
        <w:widowControl/>
        <w:spacing w:line="360" w:lineRule="auto"/>
        <w:ind w:firstLine="560" w:firstLineChars="200"/>
        <w:jc w:val="both"/>
        <w:rPr>
          <w:rFonts w:ascii="仿宋" w:hAnsi="仿宋" w:eastAsia="仿宋" w:cs="仿宋"/>
          <w:sz w:val="28"/>
          <w:szCs w:val="28"/>
          <w:lang w:eastAsia="zh-CN"/>
        </w:rPr>
      </w:pPr>
      <w:bookmarkStart w:id="0" w:name="_Hlk130890499"/>
      <w:r>
        <w:rPr>
          <w:rFonts w:hint="eastAsia" w:ascii="仿宋" w:hAnsi="仿宋" w:eastAsia="仿宋" w:cs="仿宋"/>
          <w:sz w:val="28"/>
          <w:szCs w:val="28"/>
          <w:lang w:eastAsia="zh-CN"/>
        </w:rPr>
        <w:t>根据佛山市市场监督管理局对佛山标准推进工作的计划和时间要求，在佛山市佛山标准与卓越绩效管理促进会的指导和管理下，为更好地开展编制工作，</w:t>
      </w:r>
      <w:r>
        <w:rPr>
          <w:rFonts w:hint="eastAsia" w:ascii="仿宋" w:hAnsi="仿宋" w:eastAsia="仿宋" w:cs="仿宋"/>
          <w:sz w:val="28"/>
          <w:szCs w:val="28"/>
          <w:lang w:val="en-US" w:eastAsia="zh-CN"/>
        </w:rPr>
        <w:t>广东嘉腾</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广东科达、</w:t>
      </w:r>
      <w:r>
        <w:rPr>
          <w:rFonts w:hint="eastAsia" w:ascii="仿宋" w:hAnsi="仿宋" w:eastAsia="仿宋" w:cs="仿宋"/>
          <w:sz w:val="28"/>
          <w:szCs w:val="28"/>
          <w:lang w:eastAsia="zh-CN"/>
        </w:rPr>
        <w:t>佛山市顺德区质量技术监督标准与编码所到访企业召开标准起草讨论会，成立了标准工作组。</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val="en-US" w:eastAsia="zh-CN"/>
        </w:rPr>
        <w:t>广东嘉腾</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广东科达、</w:t>
      </w:r>
      <w:r>
        <w:rPr>
          <w:rFonts w:hint="eastAsia" w:ascii="仿宋" w:hAnsi="仿宋" w:eastAsia="仿宋" w:cs="仿宋"/>
          <w:sz w:val="28"/>
          <w:szCs w:val="28"/>
          <w:lang w:eastAsia="zh-CN"/>
        </w:rPr>
        <w:t>佛山市顺德区质量技术监督标准与编码所主要</w:t>
      </w:r>
      <w:r>
        <w:rPr>
          <w:rFonts w:ascii="仿宋" w:hAnsi="仿宋" w:eastAsia="仿宋" w:cs="仿宋"/>
          <w:sz w:val="28"/>
          <w:szCs w:val="28"/>
          <w:lang w:eastAsia="zh-CN"/>
        </w:rPr>
        <w:t>负责</w:t>
      </w:r>
      <w:r>
        <w:rPr>
          <w:rFonts w:hint="eastAsia" w:ascii="仿宋" w:hAnsi="仿宋" w:eastAsia="仿宋" w:cs="仿宋"/>
          <w:sz w:val="28"/>
          <w:szCs w:val="28"/>
          <w:lang w:eastAsia="zh-CN"/>
        </w:rPr>
        <w:t>确定标准研制对应的产品类别，针对产品技术发展情况和用户痛点问题明确关键指标，</w:t>
      </w:r>
      <w:r>
        <w:rPr>
          <w:rFonts w:ascii="仿宋" w:hAnsi="仿宋" w:eastAsia="仿宋" w:cs="仿宋"/>
          <w:sz w:val="28"/>
          <w:szCs w:val="28"/>
          <w:lang w:eastAsia="zh-CN"/>
        </w:rPr>
        <w:t>收集企业现有产品技术性能参数，查阅国内外相关产品的技术文档、标准、专利，形成相关的标准集合。对比国内外等同类产品标准的有关条款，编制标准草案，组织</w:t>
      </w:r>
      <w:r>
        <w:rPr>
          <w:rFonts w:hint="eastAsia" w:ascii="仿宋" w:hAnsi="仿宋" w:eastAsia="仿宋" w:cs="仿宋"/>
          <w:sz w:val="28"/>
          <w:szCs w:val="28"/>
          <w:lang w:eastAsia="zh-CN"/>
        </w:rPr>
        <w:t>工作人员到企业现场核实验证指标，策划标准研讨、公开</w:t>
      </w:r>
      <w:r>
        <w:rPr>
          <w:rFonts w:ascii="仿宋" w:hAnsi="仿宋" w:eastAsia="仿宋" w:cs="仿宋"/>
          <w:sz w:val="28"/>
          <w:szCs w:val="28"/>
          <w:lang w:eastAsia="zh-CN"/>
        </w:rPr>
        <w:t>征求标准意见等</w:t>
      </w:r>
      <w:r>
        <w:rPr>
          <w:rFonts w:hint="eastAsia" w:ascii="仿宋" w:hAnsi="仿宋" w:eastAsia="仿宋" w:cs="仿宋"/>
          <w:sz w:val="28"/>
          <w:szCs w:val="28"/>
          <w:lang w:eastAsia="zh-CN"/>
        </w:rPr>
        <w:t>前期准备工作。并根据相关工作内容安排了工作计划，大致内容如下：</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月调研与前期准备阶段：完成行业调研和相关标准、用户痛点问题的收集整理，并组织到访</w:t>
      </w:r>
      <w:r>
        <w:rPr>
          <w:rFonts w:hint="eastAsia" w:ascii="仿宋" w:hAnsi="仿宋" w:eastAsia="仿宋" w:cs="仿宋"/>
          <w:sz w:val="28"/>
          <w:szCs w:val="28"/>
          <w:lang w:val="en-US" w:eastAsia="zh-CN"/>
        </w:rPr>
        <w:t>广东嘉腾</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广东科达</w:t>
      </w:r>
      <w:r>
        <w:rPr>
          <w:rFonts w:hint="eastAsia" w:ascii="仿宋" w:hAnsi="仿宋" w:eastAsia="仿宋" w:cs="仿宋"/>
          <w:sz w:val="28"/>
          <w:szCs w:val="28"/>
          <w:lang w:eastAsia="zh-CN"/>
        </w:rPr>
        <w:t>；</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2）</w:t>
      </w:r>
      <w:r>
        <w:rPr>
          <w:rFonts w:ascii="仿宋" w:hAnsi="仿宋" w:eastAsia="仿宋" w:cs="仿宋"/>
          <w:sz w:val="28"/>
          <w:szCs w:val="28"/>
          <w:lang w:eastAsia="zh-CN"/>
        </w:rPr>
        <w:t>2024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月标准起草阶段：编写标准草案（工作组讨论稿）、编写标准编制说明；</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月研讨与征求意见阶段：组织标准讨论工作群及现场沟通，并征求工作组和行业协会、专家意见，完成标准送审稿及其他评审材料；</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4）202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月评审与发布阶段：组织召开标准评审会，根据专家意见，修改完善形成标准报批稿并发布。</w:t>
      </w:r>
      <w:bookmarkEnd w:id="0"/>
    </w:p>
    <w:p>
      <w:pPr>
        <w:widowControl/>
        <w:spacing w:line="720" w:lineRule="auto"/>
        <w:rPr>
          <w:rFonts w:ascii="黑体" w:hAnsi="宋体" w:eastAsia="黑体" w:cs="黑体"/>
          <w:sz w:val="28"/>
          <w:szCs w:val="28"/>
          <w:lang w:eastAsia="zh-CN"/>
        </w:rPr>
      </w:pPr>
      <w:bookmarkStart w:id="1" w:name="_Hlk130890723"/>
      <w:r>
        <w:rPr>
          <w:rFonts w:hint="eastAsia" w:ascii="黑体" w:hAnsi="宋体" w:eastAsia="黑体" w:cs="黑体"/>
          <w:sz w:val="28"/>
          <w:szCs w:val="28"/>
          <w:lang w:eastAsia="zh-CN"/>
        </w:rPr>
        <w:t>2.2  标准草案编制</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月启动标准草案研制工作，结合前期准备工作成果，征求起草单位意见，充分考虑佛山标准的编制要求、编制理念和定位要求等，体现了标准的先进性。具体说明如下：</w:t>
      </w:r>
    </w:p>
    <w:p>
      <w:pPr>
        <w:widowControl/>
        <w:numPr>
          <w:ilvl w:val="0"/>
          <w:numId w:val="9"/>
        </w:numPr>
        <w:spacing w:line="360" w:lineRule="auto"/>
        <w:ind w:firstLine="560" w:firstLineChars="200"/>
        <w:jc w:val="both"/>
        <w:rPr>
          <w:rFonts w:ascii="仿宋" w:hAnsi="仿宋" w:eastAsia="仿宋" w:cs="仿宋"/>
          <w:sz w:val="28"/>
          <w:szCs w:val="28"/>
          <w:lang w:eastAsia="zh-CN"/>
        </w:rPr>
      </w:pPr>
      <w:bookmarkStart w:id="2" w:name="_Hlk130891623"/>
      <w:r>
        <w:rPr>
          <w:rFonts w:hint="eastAsia" w:ascii="仿宋" w:hAnsi="仿宋" w:eastAsia="仿宋" w:cs="仿宋"/>
          <w:sz w:val="28"/>
          <w:szCs w:val="28"/>
          <w:lang w:eastAsia="zh-CN"/>
        </w:rPr>
        <w:t>优化基础指标，提升关键指标</w:t>
      </w:r>
      <w:bookmarkEnd w:id="2"/>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结合相关标准及信息收集、分析、比对，主要在GB</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T 20721—2022</w:t>
      </w:r>
      <w:r>
        <w:rPr>
          <w:rFonts w:hint="eastAsia" w:ascii="仿宋" w:hAnsi="仿宋" w:eastAsia="仿宋" w:cs="仿宋"/>
          <w:sz w:val="28"/>
          <w:szCs w:val="28"/>
          <w:lang w:eastAsia="zh-CN"/>
        </w:rPr>
        <w:t>国家标准的基础上，对停止精度（定位精度）、续航时间、噪声、安全性</w:t>
      </w:r>
      <w:r>
        <w:rPr>
          <w:rFonts w:hint="eastAsia" w:ascii="仿宋" w:hAnsi="仿宋" w:eastAsia="仿宋" w:cs="仿宋"/>
          <w:sz w:val="28"/>
          <w:szCs w:val="28"/>
          <w:lang w:eastAsia="zh-CN"/>
        </w:rPr>
        <w:t>等指标进行提升，主要是为进一步保证产品</w:t>
      </w:r>
      <w:r>
        <w:rPr>
          <w:rFonts w:hint="eastAsia" w:ascii="仿宋" w:hAnsi="仿宋" w:eastAsia="仿宋" w:cs="仿宋"/>
          <w:sz w:val="28"/>
          <w:szCs w:val="28"/>
          <w:lang w:val="en-US" w:eastAsia="zh-CN"/>
        </w:rPr>
        <w:t>运行</w:t>
      </w:r>
      <w:r>
        <w:rPr>
          <w:rFonts w:hint="eastAsia" w:ascii="仿宋" w:hAnsi="仿宋" w:eastAsia="仿宋" w:cs="仿宋"/>
          <w:sz w:val="28"/>
          <w:szCs w:val="28"/>
          <w:lang w:eastAsia="zh-CN"/>
        </w:rPr>
        <w:t>稳定性</w:t>
      </w:r>
      <w:r>
        <w:rPr>
          <w:rFonts w:hint="eastAsia" w:ascii="仿宋" w:hAnsi="仿宋" w:eastAsia="仿宋" w:cs="仿宋"/>
          <w:sz w:val="28"/>
          <w:szCs w:val="28"/>
          <w:lang w:val="en-US" w:eastAsia="zh-CN"/>
        </w:rPr>
        <w:t>和高质量性</w:t>
      </w:r>
      <w:r>
        <w:rPr>
          <w:rFonts w:hint="eastAsia" w:ascii="仿宋" w:hAnsi="仿宋" w:eastAsia="仿宋" w:cs="仿宋"/>
          <w:sz w:val="28"/>
          <w:szCs w:val="28"/>
          <w:lang w:eastAsia="zh-CN"/>
        </w:rPr>
        <w:t>、安全性</w:t>
      </w:r>
      <w:r>
        <w:rPr>
          <w:rFonts w:hint="eastAsia" w:ascii="仿宋" w:hAnsi="仿宋" w:eastAsia="仿宋" w:cs="仿宋"/>
          <w:sz w:val="28"/>
          <w:szCs w:val="28"/>
          <w:lang w:val="en-US" w:eastAsia="zh-CN"/>
        </w:rPr>
        <w:t>及环保性</w:t>
      </w:r>
      <w:r>
        <w:rPr>
          <w:rFonts w:hint="eastAsia" w:ascii="仿宋" w:hAnsi="仿宋" w:eastAsia="仿宋" w:cs="仿宋"/>
          <w:sz w:val="28"/>
          <w:szCs w:val="28"/>
          <w:lang w:eastAsia="zh-CN"/>
        </w:rPr>
        <w:t>。</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）新增指标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结合消费者意见反馈、行业相关数据收集，在国家标准的基础上，新增了导航精度、最小旋转半径、开动率</w:t>
      </w:r>
      <w:r>
        <w:rPr>
          <w:rFonts w:hint="eastAsia" w:ascii="仿宋" w:hAnsi="仿宋" w:eastAsia="仿宋" w:cs="仿宋"/>
          <w:sz w:val="28"/>
          <w:szCs w:val="28"/>
          <w:lang w:val="en-US" w:eastAsia="zh-CN"/>
        </w:rPr>
        <w:t>等</w:t>
      </w:r>
      <w:r>
        <w:rPr>
          <w:rFonts w:hint="eastAsia" w:ascii="仿宋" w:hAnsi="仿宋" w:eastAsia="仿宋" w:cs="仿宋"/>
          <w:sz w:val="28"/>
          <w:szCs w:val="28"/>
          <w:lang w:eastAsia="zh-CN"/>
        </w:rPr>
        <w:t>性能指标，主要是为进一步体现产品的</w:t>
      </w:r>
      <w:r>
        <w:rPr>
          <w:rFonts w:hint="eastAsia" w:ascii="仿宋" w:hAnsi="仿宋" w:eastAsia="仿宋" w:cs="仿宋"/>
          <w:sz w:val="28"/>
          <w:szCs w:val="28"/>
          <w:lang w:val="en-US" w:eastAsia="zh-CN"/>
        </w:rPr>
        <w:t>运行的稳定性和高质量性及可靠性</w:t>
      </w:r>
      <w:r>
        <w:rPr>
          <w:rFonts w:hint="eastAsia" w:ascii="仿宋" w:hAnsi="仿宋" w:eastAsia="仿宋" w:cs="仿宋"/>
          <w:sz w:val="28"/>
          <w:szCs w:val="28"/>
          <w:lang w:eastAsia="zh-CN"/>
        </w:rPr>
        <w:t>。</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）规定试验方法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参照相关国家标准、行业标准，规定了试验方法。</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2.3  标准草案研讨</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于202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月组织了企业代表召开了线上线下标准讨论会、微信群内、电话讨论及企业现场讨论等方式，讨论主要内容如下：</w:t>
      </w:r>
    </w:p>
    <w:p>
      <w:pPr>
        <w:widowControl/>
        <w:numPr>
          <w:ilvl w:val="0"/>
          <w:numId w:val="10"/>
        </w:num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讨论了指标优化和提升的可行性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指标分类及提升哪几项关键指标等问题，企业代表一致认为可行，并逐一确认标准草案中提升的各个指标项。对于目前客户关注的停止精度（定位精度）、续航时间、噪声、安全性等指标，企业代表结合最近几年的检测数据和经验积累，给出了专业性的调整建议。</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）讨论了指标新增的合理性</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针对标准草案中增加的导航精度、最小旋转半径、开动率等相关指标，确认符合产品趋势、国家产业政策要求及市场导向，属合理增加项。</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3）调整了部分试验方法</w:t>
      </w:r>
    </w:p>
    <w:p>
      <w:pPr>
        <w:widowControl/>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针对标准草案中的试验方法，提出了个别试验方法需要更新和调整，并对此给出了补充和修正的建议。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2.4  征求意见情况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标准研讨会议后，对标准进行了修改，并在佛山标准公共平台及团体标准公共服务平台进行公开征求意见。</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2.5  重大分岐情况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无</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2.6  专家评审情况</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于2</w:t>
      </w:r>
      <w:r>
        <w:rPr>
          <w:rFonts w:ascii="仿宋" w:hAnsi="仿宋" w:eastAsia="仿宋" w:cs="仿宋"/>
          <w:sz w:val="28"/>
          <w:szCs w:val="28"/>
          <w:lang w:eastAsia="zh-CN"/>
        </w:rPr>
        <w:t>024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XX</w:t>
      </w:r>
      <w:r>
        <w:rPr>
          <w:rFonts w:hint="eastAsia" w:ascii="仿宋" w:hAnsi="仿宋" w:eastAsia="仿宋" w:cs="仿宋"/>
          <w:sz w:val="28"/>
          <w:szCs w:val="28"/>
          <w:lang w:eastAsia="zh-CN"/>
        </w:rPr>
        <w:t>日，组织专家召开了标准定会，专家组听取了编制组的汇报，审阅了相关资料，对标准文本进行了认真、细致和充分的讨论。最后，专家组认为该标准达到国内领先、国际先进水平，</w:t>
      </w:r>
      <w:r>
        <w:rPr>
          <w:rFonts w:ascii="仿宋" w:hAnsi="仿宋" w:eastAsia="仿宋" w:cs="仿宋"/>
          <w:sz w:val="28"/>
          <w:szCs w:val="28"/>
          <w:lang w:eastAsia="zh-CN"/>
        </w:rPr>
        <w:t>一致</w:t>
      </w:r>
      <w:r>
        <w:rPr>
          <w:rFonts w:hint="eastAsia" w:ascii="仿宋" w:hAnsi="仿宋" w:eastAsia="仿宋" w:cs="仿宋"/>
          <w:sz w:val="28"/>
          <w:szCs w:val="28"/>
          <w:lang w:eastAsia="zh-CN"/>
        </w:rPr>
        <w:t>同意标准</w:t>
      </w:r>
      <w:r>
        <w:rPr>
          <w:rFonts w:ascii="仿宋" w:hAnsi="仿宋" w:eastAsia="仿宋" w:cs="仿宋"/>
          <w:sz w:val="28"/>
          <w:szCs w:val="28"/>
          <w:lang w:eastAsia="zh-CN"/>
        </w:rPr>
        <w:t>通过</w:t>
      </w:r>
      <w:r>
        <w:rPr>
          <w:rFonts w:hint="eastAsia" w:ascii="仿宋" w:hAnsi="仿宋" w:eastAsia="仿宋" w:cs="仿宋"/>
          <w:sz w:val="28"/>
          <w:szCs w:val="28"/>
          <w:lang w:eastAsia="zh-CN"/>
        </w:rPr>
        <w:t>审定。</w:t>
      </w:r>
    </w:p>
    <w:bookmarkEnd w:id="1"/>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  标准编制原则、主要内容及确定依据</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3.1  编制原则</w:t>
      </w:r>
    </w:p>
    <w:p>
      <w:pPr>
        <w:widowControl/>
        <w:spacing w:line="360" w:lineRule="auto"/>
        <w:ind w:firstLine="560" w:firstLineChars="200"/>
        <w:jc w:val="both"/>
        <w:rPr>
          <w:rFonts w:ascii="仿宋" w:hAnsi="仿宋" w:eastAsia="仿宋" w:cs="仿宋"/>
          <w:sz w:val="28"/>
          <w:szCs w:val="28"/>
          <w:lang w:eastAsia="zh-CN"/>
        </w:rPr>
      </w:pPr>
      <w:r>
        <w:rPr>
          <w:rFonts w:ascii="仿宋" w:hAnsi="仿宋" w:eastAsia="仿宋" w:cs="仿宋"/>
          <w:sz w:val="28"/>
          <w:szCs w:val="28"/>
          <w:lang w:eastAsia="zh-CN"/>
        </w:rPr>
        <w:t>标准编制遵循</w:t>
      </w:r>
      <w:r>
        <w:rPr>
          <w:rFonts w:hint="eastAsia" w:ascii="仿宋" w:hAnsi="仿宋" w:eastAsia="仿宋" w:cs="仿宋"/>
          <w:sz w:val="28"/>
          <w:szCs w:val="28"/>
          <w:lang w:eastAsia="zh-CN"/>
        </w:rPr>
        <w:t>合规性、科学性、先进性、适用性并协调一致</w:t>
      </w:r>
      <w:r>
        <w:rPr>
          <w:rFonts w:ascii="仿宋" w:hAnsi="仿宋" w:eastAsia="仿宋" w:cs="仿宋"/>
          <w:sz w:val="28"/>
          <w:szCs w:val="28"/>
          <w:lang w:eastAsia="zh-CN"/>
        </w:rPr>
        <w:t>的原则，尽可能与国际通行标准接轨，注重标准的可操作性，本标准严格按照GB/T 1.1-2020《标准化工作导则 第1部分：标准化文件的结构和起草规则》的规定进行编写和表述。</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3.2  主要参考依据</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GB/T 4208—2017  外壳防护等级（IP代码）</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GB/T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9969</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工业产品使用说明书总则</w:t>
      </w:r>
    </w:p>
    <w:p>
      <w:pPr>
        <w:widowControl/>
        <w:spacing w:line="360" w:lineRule="auto"/>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GB/T 20138—2023  电器设备外壳对外界机械碰撞的防护等级(IK代码)</w:t>
      </w:r>
    </w:p>
    <w:p>
      <w:pPr>
        <w:widowControl/>
        <w:spacing w:line="360" w:lineRule="auto"/>
        <w:ind w:firstLine="560" w:firstLineChars="200"/>
        <w:jc w:val="both"/>
        <w:rPr>
          <w:rFonts w:hint="eastAsia" w:ascii="仿宋" w:hAnsi="仿宋" w:eastAsia="仿宋" w:cs="仿宋"/>
          <w:sz w:val="24"/>
          <w:szCs w:val="24"/>
          <w:lang w:val="en-US" w:eastAsia="zh-CN"/>
        </w:rPr>
      </w:pPr>
      <w:r>
        <w:rPr>
          <w:rFonts w:hint="eastAsia" w:ascii="仿宋" w:hAnsi="仿宋" w:eastAsia="仿宋" w:cs="仿宋"/>
          <w:sz w:val="28"/>
          <w:szCs w:val="28"/>
          <w:lang w:eastAsia="zh-CN"/>
        </w:rPr>
        <w:t>GB</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T 20721—2022</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自动导引车 通用技术条件</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  标准主要内容</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4.1  范围</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本文件规定了佛山标准</w:t>
      </w:r>
      <w:r>
        <w:rPr>
          <w:rFonts w:hint="eastAsia" w:ascii="仿宋" w:hAnsi="仿宋" w:eastAsia="仿宋" w:cs="仿宋"/>
          <w:sz w:val="28"/>
          <w:szCs w:val="28"/>
          <w:lang w:val="en-US" w:eastAsia="zh-CN"/>
        </w:rPr>
        <w:t xml:space="preserve"> 自动导引车</w:t>
      </w:r>
      <w:r>
        <w:rPr>
          <w:rFonts w:hint="eastAsia" w:ascii="仿宋" w:hAnsi="仿宋" w:eastAsia="仿宋" w:cs="仿宋"/>
          <w:sz w:val="28"/>
          <w:szCs w:val="28"/>
          <w:lang w:eastAsia="zh-CN"/>
        </w:rPr>
        <w:t>的产品分类、系统构成、</w:t>
      </w:r>
      <w:r>
        <w:rPr>
          <w:rFonts w:hint="eastAsia" w:ascii="仿宋" w:hAnsi="仿宋" w:eastAsia="仿宋" w:cs="仿宋"/>
          <w:sz w:val="28"/>
          <w:szCs w:val="28"/>
          <w:lang w:val="en-US" w:eastAsia="zh-CN"/>
        </w:rPr>
        <w:t>基本参数项目及其说明、</w:t>
      </w:r>
      <w:r>
        <w:rPr>
          <w:rFonts w:hint="eastAsia" w:ascii="仿宋" w:hAnsi="仿宋" w:eastAsia="仿宋" w:cs="仿宋"/>
          <w:sz w:val="28"/>
          <w:szCs w:val="28"/>
          <w:lang w:eastAsia="zh-CN"/>
        </w:rPr>
        <w:t>正常工作条件、技术要求、试验方法、检验规则、标志、使用说明书、包装、运输、贮存和质量承诺。</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本文件适用于仓储、产线、运输、制造业等领域的自动导引车的设计、制造、检验</w:t>
      </w:r>
      <w:r>
        <w:rPr>
          <w:rFonts w:hint="eastAsia" w:ascii="仿宋" w:hAnsi="仿宋" w:eastAsia="仿宋" w:cs="仿宋"/>
          <w:sz w:val="28"/>
          <w:szCs w:val="28"/>
          <w:lang w:val="en-US" w:eastAsia="zh-CN"/>
        </w:rPr>
        <w:t>等</w:t>
      </w:r>
      <w:r>
        <w:rPr>
          <w:rFonts w:hint="eastAsia" w:ascii="仿宋" w:hAnsi="仿宋" w:eastAsia="仿宋" w:cs="仿宋"/>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4.2  要求</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包括了三部分，第一部分是基础性指标，是产品基本属性指标；第二部分是关键性指标，是消费者和企业都关注、体现产品竞争力的技术指标，指标提升，用户满意度会明显提升；第三部分是新增指标，新增指标是在行业标准的基础上，根据目前其他相关国行标准的最新要求和体现企业技术创新，指标确立，用户满意度显著提升。</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本标准的基础性指标，包括了</w:t>
      </w:r>
      <w:r>
        <w:rPr>
          <w:rFonts w:hint="eastAsia" w:ascii="仿宋" w:hAnsi="仿宋" w:eastAsia="仿宋" w:cs="仿宋"/>
          <w:sz w:val="28"/>
          <w:szCs w:val="28"/>
          <w:lang w:val="en-US" w:eastAsia="zh-CN"/>
        </w:rPr>
        <w:t>结构、防护能力、接口、功能、</w:t>
      </w:r>
      <w:r>
        <w:rPr>
          <w:rFonts w:hint="eastAsia" w:ascii="仿宋" w:hAnsi="仿宋" w:eastAsia="仿宋" w:cs="仿宋"/>
          <w:sz w:val="28"/>
          <w:szCs w:val="28"/>
          <w:lang w:eastAsia="zh-CN"/>
        </w:rPr>
        <w:t>电源适应性、环境适应性</w:t>
      </w:r>
      <w:r>
        <w:rPr>
          <w:rFonts w:hint="eastAsia" w:ascii="仿宋" w:hAnsi="仿宋" w:eastAsia="仿宋" w:cs="仿宋"/>
          <w:sz w:val="28"/>
          <w:szCs w:val="28"/>
          <w:lang w:eastAsia="zh-CN"/>
        </w:rPr>
        <w:t>等指标；关键性指标，包括了额定负载、额定速度、停止精度（定位精度）、续航时间、噪声、电磁兼容性、安全性、可靠性</w:t>
      </w:r>
      <w:r>
        <w:rPr>
          <w:rFonts w:hint="eastAsia" w:ascii="仿宋" w:hAnsi="仿宋" w:eastAsia="仿宋" w:cs="仿宋"/>
          <w:sz w:val="28"/>
          <w:szCs w:val="28"/>
          <w:lang w:eastAsia="zh-CN"/>
        </w:rPr>
        <w:t>等指标；新增指标</w:t>
      </w:r>
      <w:bookmarkStart w:id="3" w:name="_Hlk161679263"/>
      <w:r>
        <w:rPr>
          <w:rFonts w:hint="eastAsia" w:ascii="仿宋" w:hAnsi="仿宋" w:eastAsia="仿宋" w:cs="仿宋"/>
          <w:sz w:val="28"/>
          <w:szCs w:val="28"/>
          <w:lang w:eastAsia="zh-CN"/>
        </w:rPr>
        <w:t>有</w:t>
      </w:r>
      <w:bookmarkEnd w:id="3"/>
      <w:r>
        <w:rPr>
          <w:rFonts w:hint="eastAsia" w:ascii="仿宋" w:hAnsi="仿宋" w:eastAsia="仿宋" w:cs="仿宋"/>
          <w:sz w:val="28"/>
          <w:szCs w:val="28"/>
          <w:lang w:eastAsia="zh-CN"/>
        </w:rPr>
        <w:t>导航精度、最小旋转半径、开动率</w:t>
      </w:r>
      <w:r>
        <w:rPr>
          <w:rFonts w:hint="eastAsia" w:ascii="仿宋" w:hAnsi="仿宋" w:eastAsia="仿宋" w:cs="仿宋"/>
          <w:sz w:val="28"/>
          <w:szCs w:val="28"/>
          <w:lang w:eastAsia="zh-CN"/>
        </w:rPr>
        <w:t>等指标。</w:t>
      </w:r>
    </w:p>
    <w:p>
      <w:pPr>
        <w:autoSpaceDE/>
        <w:autoSpaceDN/>
        <w:spacing w:after="120" w:line="360" w:lineRule="auto"/>
        <w:ind w:firstLine="422" w:firstLineChars="20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表</w:t>
      </w:r>
      <w:r>
        <w:rPr>
          <w:rFonts w:hint="eastAsia" w:ascii="仿宋" w:hAnsi="仿宋" w:eastAsia="仿宋" w:cs="仿宋"/>
          <w:b/>
          <w:bCs/>
          <w:sz w:val="21"/>
          <w:szCs w:val="21"/>
          <w:lang w:val="en-US" w:eastAsia="zh-CN"/>
        </w:rPr>
        <w:t xml:space="preserve">1 </w:t>
      </w:r>
      <w:r>
        <w:rPr>
          <w:rFonts w:hint="eastAsia" w:ascii="仿宋" w:hAnsi="仿宋" w:eastAsia="仿宋" w:cs="仿宋"/>
          <w:b/>
          <w:bCs/>
          <w:sz w:val="21"/>
          <w:szCs w:val="21"/>
          <w:lang w:eastAsia="zh-CN"/>
        </w:rPr>
        <w:t>标准指标比对表</w:t>
      </w:r>
    </w:p>
    <w:tbl>
      <w:tblPr>
        <w:tblStyle w:val="10"/>
        <w:tblW w:w="47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88"/>
        <w:gridCol w:w="525"/>
        <w:gridCol w:w="677"/>
        <w:gridCol w:w="3381"/>
        <w:gridCol w:w="2647"/>
        <w:gridCol w:w="1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7" w:hRule="atLeast"/>
          <w:tblHeader/>
          <w:jc w:val="center"/>
        </w:trPr>
        <w:tc>
          <w:tcPr>
            <w:tcW w:w="421"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指标</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类型</w:t>
            </w:r>
          </w:p>
        </w:tc>
        <w:tc>
          <w:tcPr>
            <w:tcW w:w="643"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rPr>
            </w:pPr>
            <w:r>
              <w:rPr>
                <w:rFonts w:hint="eastAsia" w:ascii="宋体" w:hAnsi="宋体" w:eastAsia="宋体" w:cs="宋体"/>
                <w:color w:val="auto"/>
                <w:spacing w:val="20"/>
                <w:sz w:val="18"/>
                <w:szCs w:val="18"/>
                <w:lang w:val="zh-CN"/>
              </w:rPr>
              <w:t>指标项目</w:t>
            </w:r>
          </w:p>
        </w:tc>
        <w:tc>
          <w:tcPr>
            <w:tcW w:w="1810"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eastAsia="zh-CN"/>
              </w:rPr>
              <w:t>佛山</w:t>
            </w:r>
            <w:r>
              <w:rPr>
                <w:rFonts w:hint="eastAsia" w:ascii="宋体" w:hAnsi="宋体" w:eastAsia="宋体" w:cs="宋体"/>
                <w:color w:val="auto"/>
                <w:spacing w:val="20"/>
                <w:sz w:val="18"/>
                <w:szCs w:val="18"/>
                <w:lang w:val="zh-CN" w:eastAsia="zh-CN"/>
              </w:rPr>
              <w:t>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T/FSS XX-2024</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国家标准</w:t>
            </w:r>
          </w:p>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r>
              <w:rPr>
                <w:rFonts w:hint="eastAsia" w:ascii="宋体" w:hAnsi="宋体" w:eastAsia="宋体" w:cs="宋体"/>
                <w:color w:val="auto"/>
                <w:spacing w:val="20"/>
                <w:sz w:val="18"/>
                <w:szCs w:val="18"/>
                <w:lang w:eastAsia="zh-CN"/>
              </w:rPr>
              <w:t>GB</w:t>
            </w:r>
            <w:r>
              <w:rPr>
                <w:rFonts w:hint="eastAsia" w:ascii="宋体" w:hAnsi="宋体" w:eastAsia="宋体" w:cs="宋体"/>
                <w:color w:val="auto"/>
                <w:spacing w:val="20"/>
                <w:sz w:val="18"/>
                <w:szCs w:val="18"/>
                <w:lang w:val="en-US" w:eastAsia="zh-CN"/>
              </w:rPr>
              <w:t>/</w:t>
            </w:r>
            <w:r>
              <w:rPr>
                <w:rFonts w:hint="eastAsia" w:ascii="宋体" w:hAnsi="宋体" w:eastAsia="宋体" w:cs="宋体"/>
                <w:color w:val="auto"/>
                <w:spacing w:val="20"/>
                <w:sz w:val="18"/>
                <w:szCs w:val="18"/>
                <w:lang w:eastAsia="zh-CN"/>
              </w:rPr>
              <w:t>T 20721—2022</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rPr>
            </w:pPr>
            <w:r>
              <w:rPr>
                <w:rFonts w:hint="eastAsia" w:ascii="宋体" w:hAnsi="宋体" w:eastAsia="宋体" w:cs="宋体"/>
                <w:color w:val="auto"/>
                <w:kern w:val="2"/>
                <w:sz w:val="18"/>
                <w:szCs w:val="18"/>
                <w:lang w:eastAsia="zh-CN"/>
              </w:rPr>
              <w:t>比对情况及说明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基础</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r>
              <w:rPr>
                <w:rFonts w:hint="eastAsia" w:ascii="宋体" w:hAnsi="宋体" w:eastAsia="宋体" w:cs="宋体"/>
                <w:color w:val="auto"/>
                <w:spacing w:val="20"/>
                <w:sz w:val="18"/>
                <w:szCs w:val="18"/>
                <w:lang w:eastAsia="zh-CN"/>
              </w:rPr>
              <w:t>指标</w:t>
            </w:r>
          </w:p>
        </w:tc>
        <w:tc>
          <w:tcPr>
            <w:tcW w:w="643" w:type="pct"/>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外观</w:t>
            </w:r>
          </w:p>
        </w:tc>
        <w:tc>
          <w:tcPr>
            <w:tcW w:w="1810" w:type="pct"/>
            <w:shd w:val="clear" w:color="auto" w:fill="auto"/>
            <w:vAlign w:val="center"/>
          </w:tcPr>
          <w:p>
            <w:pPr>
              <w:keepNext w:val="0"/>
              <w:keepLines w:val="0"/>
              <w:pageBreakBefore w:val="0"/>
              <w:tabs>
                <w:tab w:val="center" w:pos="4201"/>
                <w:tab w:val="right" w:leader="dot" w:pos="9298"/>
              </w:tabs>
              <w:kinsoku/>
              <w:wordWrap/>
              <w:overflowPunct/>
              <w:topLinePunct w:val="0"/>
              <w:bidi w:val="0"/>
              <w:adjustRightInd w:val="0"/>
              <w:snapToGrid w:val="0"/>
              <w:spacing w:line="240" w:lineRule="atLeas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标准中8.1的规定</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w:t>
            </w:r>
            <w:r>
              <w:rPr>
                <w:rFonts w:hint="eastAsia" w:ascii="宋体" w:hAnsi="宋体" w:eastAsia="宋体" w:cs="宋体"/>
                <w:color w:val="auto"/>
                <w:sz w:val="18"/>
                <w:szCs w:val="18"/>
                <w:lang w:val="en-US" w:eastAsia="zh-CN"/>
              </w:rPr>
              <w:t>中6.1.1的规定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p>
        </w:tc>
        <w:tc>
          <w:tcPr>
            <w:tcW w:w="643" w:type="pct"/>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结构</w:t>
            </w:r>
          </w:p>
        </w:tc>
        <w:tc>
          <w:tcPr>
            <w:tcW w:w="1810" w:type="pct"/>
            <w:shd w:val="clear" w:color="auto" w:fill="auto"/>
            <w:vAlign w:val="center"/>
          </w:tcPr>
          <w:p>
            <w:pPr>
              <w:keepNext w:val="0"/>
              <w:keepLines w:val="0"/>
              <w:pageBreakBefore w:val="0"/>
              <w:tabs>
                <w:tab w:val="center" w:pos="4201"/>
                <w:tab w:val="right" w:leader="dot" w:pos="9298"/>
              </w:tabs>
              <w:kinsoku/>
              <w:wordWrap/>
              <w:overflowPunct/>
              <w:topLinePunct w:val="0"/>
              <w:bidi w:val="0"/>
              <w:adjustRightInd w:val="0"/>
              <w:snapToGrid w:val="0"/>
              <w:spacing w:line="240" w:lineRule="atLeas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标准中8.2的规定</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w:t>
            </w:r>
            <w:r>
              <w:rPr>
                <w:rFonts w:hint="eastAsia" w:ascii="宋体" w:hAnsi="宋体" w:eastAsia="宋体" w:cs="宋体"/>
                <w:color w:val="auto"/>
                <w:sz w:val="18"/>
                <w:szCs w:val="18"/>
                <w:lang w:val="en-US" w:eastAsia="zh-CN"/>
              </w:rPr>
              <w:t>中6.1.2的规定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5"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p>
        </w:tc>
        <w:tc>
          <w:tcPr>
            <w:tcW w:w="643" w:type="pct"/>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防护能力</w:t>
            </w:r>
          </w:p>
        </w:tc>
        <w:tc>
          <w:tcPr>
            <w:tcW w:w="1810" w:type="pct"/>
            <w:shd w:val="clear" w:color="auto" w:fill="auto"/>
            <w:vAlign w:val="center"/>
          </w:tcPr>
          <w:p>
            <w:pPr>
              <w:keepNext w:val="0"/>
              <w:keepLines w:val="0"/>
              <w:pageBreakBefore w:val="0"/>
              <w:tabs>
                <w:tab w:val="center" w:pos="4201"/>
                <w:tab w:val="right" w:leader="dot" w:pos="9298"/>
              </w:tabs>
              <w:kinsoku/>
              <w:wordWrap/>
              <w:overflowPunct/>
              <w:topLinePunct w:val="0"/>
              <w:bidi w:val="0"/>
              <w:adjustRightInd w:val="0"/>
              <w:snapToGrid w:val="0"/>
              <w:spacing w:line="240" w:lineRule="atLeast"/>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标准中8.3的规定</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w:t>
            </w:r>
            <w:r>
              <w:rPr>
                <w:rFonts w:hint="eastAsia" w:ascii="宋体" w:hAnsi="宋体" w:eastAsia="宋体" w:cs="宋体"/>
                <w:color w:val="auto"/>
                <w:sz w:val="18"/>
                <w:szCs w:val="18"/>
                <w:lang w:val="en-US" w:eastAsia="zh-CN"/>
              </w:rPr>
              <w:t>中6.1.3的规定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p>
        </w:tc>
        <w:tc>
          <w:tcPr>
            <w:tcW w:w="643" w:type="pct"/>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接口</w:t>
            </w:r>
          </w:p>
        </w:tc>
        <w:tc>
          <w:tcPr>
            <w:tcW w:w="1810" w:type="pct"/>
            <w:shd w:val="clear" w:color="auto" w:fill="auto"/>
            <w:vAlign w:val="center"/>
          </w:tcPr>
          <w:p>
            <w:pPr>
              <w:keepNext w:val="0"/>
              <w:keepLines w:val="0"/>
              <w:pageBreakBefore w:val="0"/>
              <w:tabs>
                <w:tab w:val="center" w:pos="4201"/>
                <w:tab w:val="right" w:leader="dot" w:pos="9298"/>
              </w:tabs>
              <w:kinsoku/>
              <w:wordWrap/>
              <w:overflowPunct/>
              <w:topLinePunct w:val="0"/>
              <w:bidi w:val="0"/>
              <w:adjustRightInd w:val="0"/>
              <w:snapToGrid w:val="0"/>
              <w:spacing w:line="240" w:lineRule="atLeas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应符合GB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6.2的要求</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6.2的规定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p>
        </w:tc>
        <w:tc>
          <w:tcPr>
            <w:tcW w:w="643" w:type="pct"/>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功能</w:t>
            </w:r>
          </w:p>
        </w:tc>
        <w:tc>
          <w:tcPr>
            <w:tcW w:w="1810" w:type="pct"/>
            <w:shd w:val="clear" w:color="auto" w:fill="auto"/>
            <w:vAlign w:val="center"/>
          </w:tcPr>
          <w:p>
            <w:pPr>
              <w:keepNext w:val="0"/>
              <w:keepLines w:val="0"/>
              <w:pageBreakBefore w:val="0"/>
              <w:tabs>
                <w:tab w:val="center" w:pos="4201"/>
                <w:tab w:val="right" w:leader="dot" w:pos="9298"/>
              </w:tabs>
              <w:kinsoku/>
              <w:wordWrap/>
              <w:overflowPunct/>
              <w:topLinePunct w:val="0"/>
              <w:bidi w:val="0"/>
              <w:adjustRightInd w:val="0"/>
              <w:snapToGrid w:val="0"/>
              <w:spacing w:line="240" w:lineRule="atLeast"/>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标准中8.5的规定</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6.3的规定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p>
        </w:tc>
        <w:tc>
          <w:tcPr>
            <w:tcW w:w="643" w:type="pct"/>
            <w:gridSpan w:val="2"/>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电源适应性</w:t>
            </w:r>
          </w:p>
        </w:tc>
        <w:tc>
          <w:tcPr>
            <w:tcW w:w="1810" w:type="pct"/>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应符合GB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6.5的要求</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bidi="ar-SA"/>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6.5的规定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7"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eastAsia="zh-CN"/>
              </w:rPr>
            </w:pPr>
          </w:p>
        </w:tc>
        <w:tc>
          <w:tcPr>
            <w:tcW w:w="643" w:type="pct"/>
            <w:gridSpan w:val="2"/>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环境适应性</w:t>
            </w:r>
          </w:p>
        </w:tc>
        <w:tc>
          <w:tcPr>
            <w:tcW w:w="1810" w:type="pct"/>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6.7的要求</w:t>
            </w:r>
          </w:p>
        </w:tc>
        <w:tc>
          <w:tcPr>
            <w:tcW w:w="1417" w:type="pct"/>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6.7的规定</w:t>
            </w:r>
          </w:p>
        </w:tc>
        <w:tc>
          <w:tcPr>
            <w:tcW w:w="706"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en-US" w:eastAsia="zh-CN"/>
              </w:rPr>
            </w:pPr>
            <w:r>
              <w:rPr>
                <w:rFonts w:hint="eastAsia" w:ascii="宋体" w:hAnsi="宋体" w:eastAsia="宋体" w:cs="宋体"/>
                <w:color w:val="auto"/>
                <w:spacing w:val="20"/>
                <w:sz w:val="18"/>
                <w:szCs w:val="18"/>
                <w:lang w:val="en-US" w:eastAsia="zh-CN"/>
              </w:rPr>
              <w:t>关键指标</w:t>
            </w:r>
          </w:p>
        </w:tc>
        <w:tc>
          <w:tcPr>
            <w:tcW w:w="281"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val="en-US" w:eastAsia="zh-CN"/>
              </w:rPr>
            </w:pPr>
            <w:r>
              <w:rPr>
                <w:rFonts w:hint="eastAsia" w:ascii="宋体" w:hAnsi="宋体" w:eastAsia="宋体" w:cs="宋体"/>
                <w:color w:val="auto"/>
                <w:kern w:val="2"/>
                <w:sz w:val="18"/>
                <w:szCs w:val="18"/>
                <w:lang w:val="en-US" w:eastAsia="zh-CN"/>
              </w:rPr>
              <w:t>性能</w:t>
            </w:r>
          </w:p>
        </w:tc>
        <w:tc>
          <w:tcPr>
            <w:tcW w:w="362" w:type="pct"/>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额定负载</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应符合制造商声明的数值,在额定负载的情况下,自动导引车能够正常运行</w:t>
            </w:r>
          </w:p>
        </w:tc>
        <w:tc>
          <w:tcPr>
            <w:tcW w:w="141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一致</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281"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p>
        </w:tc>
        <w:tc>
          <w:tcPr>
            <w:tcW w:w="36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额定速度</w:t>
            </w:r>
          </w:p>
        </w:tc>
        <w:tc>
          <w:tcPr>
            <w:tcW w:w="1810" w:type="pct"/>
            <w:vAlign w:val="center"/>
          </w:tcPr>
          <w:p>
            <w:pPr>
              <w:keepNext w:val="0"/>
              <w:keepLines w:val="0"/>
              <w:pageBreakBefore w:val="0"/>
              <w:widowControl/>
              <w:kinsoku/>
              <w:wordWrap/>
              <w:overflowPunct/>
              <w:topLinePunct w:val="0"/>
              <w:autoSpaceDE/>
              <w:autoSpaceDN/>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应符合制造商声明的数值，允许误差为士5%</w:t>
            </w:r>
          </w:p>
        </w:tc>
        <w:tc>
          <w:tcPr>
            <w:tcW w:w="141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应符合制造商声明的数值，允许误差为士5%</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281"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p>
        </w:tc>
        <w:tc>
          <w:tcPr>
            <w:tcW w:w="36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停止精度（定位精度）</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10mm，</w:t>
            </w:r>
            <w:r>
              <w:rPr>
                <w:rFonts w:hint="eastAsia" w:ascii="宋体" w:hAnsi="宋体" w:eastAsia="宋体" w:cs="宋体"/>
                <w:color w:val="auto"/>
                <w:sz w:val="18"/>
                <w:szCs w:val="18"/>
                <w:lang w:eastAsia="zh-CN"/>
              </w:rPr>
              <w:t>为应根据应用需求确定,允许误差为士</w:t>
            </w:r>
            <w:r>
              <w:rPr>
                <w:rFonts w:hint="eastAsia" w:ascii="宋体" w:hAnsi="宋体" w:eastAsia="宋体" w:cs="宋体"/>
                <w:color w:val="auto"/>
                <w:sz w:val="18"/>
                <w:szCs w:val="18"/>
                <w:lang w:val="en-US" w:eastAsia="zh-CN"/>
              </w:rPr>
              <w:t>4</w:t>
            </w:r>
            <w:r>
              <w:rPr>
                <w:rFonts w:hint="eastAsia" w:ascii="宋体" w:hAnsi="宋体" w:eastAsia="宋体" w:cs="宋体"/>
                <w:color w:val="auto"/>
                <w:sz w:val="18"/>
                <w:szCs w:val="18"/>
                <w:lang w:eastAsia="zh-CN"/>
              </w:rPr>
              <w:t>%</w:t>
            </w:r>
          </w:p>
        </w:tc>
        <w:tc>
          <w:tcPr>
            <w:tcW w:w="141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为应根据应用需求确定,允许误差为士</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lang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281"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p>
        </w:tc>
        <w:tc>
          <w:tcPr>
            <w:tcW w:w="36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续航时间</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应符合制造商规定的最小连续工作时间</w:t>
            </w:r>
            <w:r>
              <w:rPr>
                <w:rFonts w:hint="eastAsia" w:ascii="宋体" w:hAnsi="宋体" w:eastAsia="宋体" w:cs="宋体"/>
                <w:color w:val="auto"/>
                <w:sz w:val="18"/>
                <w:szCs w:val="18"/>
                <w:lang w:eastAsia="zh-CN"/>
              </w:rPr>
              <w:t>，最小连续工作时间应不小于</w:t>
            </w:r>
            <w:r>
              <w:rPr>
                <w:rFonts w:hint="eastAsia" w:ascii="宋体" w:hAnsi="宋体" w:eastAsia="宋体" w:cs="宋体"/>
                <w:color w:val="auto"/>
                <w:sz w:val="18"/>
                <w:szCs w:val="18"/>
                <w:lang w:val="en-US" w:eastAsia="zh-CN"/>
              </w:rPr>
              <w:t>80h</w:t>
            </w:r>
          </w:p>
        </w:tc>
        <w:tc>
          <w:tcPr>
            <w:tcW w:w="1417" w:type="pct"/>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应符合制造商规定的最小连续工作时间</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281" w:type="pct"/>
            <w:vMerge w:val="continue"/>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p>
        </w:tc>
        <w:tc>
          <w:tcPr>
            <w:tcW w:w="36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噪声</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自动导引车空载运行声压级不应超过7</w:t>
            </w:r>
            <w:r>
              <w:rPr>
                <w:rFonts w:hint="eastAsia" w:ascii="宋体" w:hAnsi="宋体" w:eastAsia="宋体" w:cs="宋体"/>
                <w:color w:val="auto"/>
                <w:sz w:val="18"/>
                <w:szCs w:val="18"/>
                <w:lang w:val="en-US" w:eastAsia="zh-CN"/>
              </w:rPr>
              <w:t>0</w:t>
            </w:r>
            <w:r>
              <w:rPr>
                <w:rFonts w:hint="eastAsia" w:ascii="宋体" w:hAnsi="宋体" w:eastAsia="宋体" w:cs="宋体"/>
                <w:color w:val="auto"/>
                <w:sz w:val="18"/>
                <w:szCs w:val="18"/>
                <w:lang w:eastAsia="zh-CN"/>
              </w:rPr>
              <w:t xml:space="preserve"> dB（</w:t>
            </w:r>
            <w:r>
              <w:rPr>
                <w:rFonts w:hint="eastAsia" w:ascii="宋体" w:hAnsi="宋体" w:eastAsia="宋体" w:cs="宋体"/>
                <w:color w:val="auto"/>
                <w:sz w:val="18"/>
                <w:szCs w:val="18"/>
                <w:lang w:val="en-US" w:eastAsia="zh-CN"/>
              </w:rPr>
              <w:t>A）</w:t>
            </w:r>
          </w:p>
        </w:tc>
        <w:tc>
          <w:tcPr>
            <w:tcW w:w="1417"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自动导引车空载运行声压级不应超过7</w:t>
            </w:r>
            <w:r>
              <w:rPr>
                <w:rFonts w:hint="eastAsia" w:ascii="宋体" w:hAnsi="宋体" w:eastAsia="宋体" w:cs="宋体"/>
                <w:color w:val="auto"/>
                <w:sz w:val="18"/>
                <w:szCs w:val="18"/>
                <w:lang w:val="en-US" w:eastAsia="zh-CN"/>
              </w:rPr>
              <w:t>5</w:t>
            </w:r>
            <w:r>
              <w:rPr>
                <w:rFonts w:hint="eastAsia" w:ascii="宋体" w:hAnsi="宋体" w:eastAsia="宋体" w:cs="宋体"/>
                <w:color w:val="auto"/>
                <w:sz w:val="18"/>
                <w:szCs w:val="18"/>
                <w:lang w:eastAsia="zh-CN"/>
              </w:rPr>
              <w:t xml:space="preserve"> dB（</w:t>
            </w:r>
            <w:r>
              <w:rPr>
                <w:rFonts w:hint="eastAsia" w:ascii="宋体" w:hAnsi="宋体" w:eastAsia="宋体" w:cs="宋体"/>
                <w:color w:val="auto"/>
                <w:sz w:val="18"/>
                <w:szCs w:val="18"/>
                <w:lang w:val="en-US" w:eastAsia="zh-CN"/>
              </w:rPr>
              <w:t>A）</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87"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643"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电磁兼容性</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6.6的要求</w:t>
            </w:r>
          </w:p>
        </w:tc>
        <w:tc>
          <w:tcPr>
            <w:tcW w:w="1417" w:type="pct"/>
            <w:vAlign w:val="center"/>
          </w:tcPr>
          <w:p>
            <w:pPr>
              <w:keepNext w:val="0"/>
              <w:keepLines w:val="0"/>
              <w:pageBreakBefore w:val="0"/>
              <w:kinsoku/>
              <w:wordWrap/>
              <w:overflowPunct/>
              <w:topLinePunct w:val="0"/>
              <w:bidi w:val="0"/>
              <w:textAlignment w:val="auto"/>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6.6的</w:t>
            </w:r>
            <w:r>
              <w:rPr>
                <w:rFonts w:hint="eastAsia" w:ascii="宋体" w:hAnsi="宋体" w:cs="宋体"/>
                <w:color w:val="auto"/>
                <w:sz w:val="18"/>
                <w:szCs w:val="18"/>
                <w:lang w:val="en-US" w:eastAsia="zh-CN"/>
              </w:rPr>
              <w:t>规定</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643"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安全性</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除</w:t>
            </w:r>
            <w:r>
              <w:rPr>
                <w:rFonts w:hint="eastAsia" w:ascii="宋体" w:hAnsi="宋体" w:eastAsia="宋体" w:cs="宋体"/>
                <w:color w:val="auto"/>
                <w:sz w:val="18"/>
                <w:szCs w:val="18"/>
                <w:lang w:eastAsia="zh-CN"/>
              </w:rPr>
              <w:t>符合GB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6.8的要求外，还应符合下列要求</w:t>
            </w:r>
          </w:p>
        </w:tc>
        <w:tc>
          <w:tcPr>
            <w:tcW w:w="1417"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6.9的规定</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643" w:type="pct"/>
            <w:gridSpan w:val="2"/>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可靠性</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应符合GB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6.9的要求</w:t>
            </w:r>
          </w:p>
        </w:tc>
        <w:tc>
          <w:tcPr>
            <w:tcW w:w="1417"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GB</w:t>
            </w:r>
            <w:r>
              <w:rPr>
                <w:rFonts w:hint="eastAsia" w:ascii="宋体" w:hAnsi="宋体" w:eastAsia="宋体" w:cs="宋体"/>
                <w:color w:val="auto"/>
                <w:sz w:val="18"/>
                <w:szCs w:val="18"/>
                <w:lang w:val="en-US" w:eastAsia="zh-CN"/>
              </w:rPr>
              <w:t>/</w:t>
            </w:r>
            <w:r>
              <w:rPr>
                <w:rFonts w:hint="eastAsia" w:ascii="宋体" w:hAnsi="宋体" w:eastAsia="宋体" w:cs="宋体"/>
                <w:color w:val="auto"/>
                <w:sz w:val="18"/>
                <w:szCs w:val="18"/>
                <w:lang w:eastAsia="zh-CN"/>
              </w:rPr>
              <w:t>T 20721—2022中</w:t>
            </w:r>
            <w:r>
              <w:rPr>
                <w:rFonts w:hint="eastAsia" w:ascii="宋体" w:hAnsi="宋体" w:eastAsia="宋体" w:cs="宋体"/>
                <w:color w:val="auto"/>
                <w:sz w:val="18"/>
                <w:szCs w:val="18"/>
                <w:lang w:val="en-US" w:eastAsia="zh-CN"/>
              </w:rPr>
              <w:t>6.9的规定</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restar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val="zh-CN" w:eastAsia="zh-CN"/>
              </w:rPr>
              <w:t>创新</w:t>
            </w:r>
          </w:p>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r>
              <w:rPr>
                <w:rFonts w:hint="eastAsia" w:ascii="宋体" w:hAnsi="宋体" w:eastAsia="宋体" w:cs="宋体"/>
                <w:color w:val="auto"/>
                <w:spacing w:val="20"/>
                <w:sz w:val="18"/>
                <w:szCs w:val="18"/>
                <w:lang w:val="zh-CN" w:eastAsia="zh-CN"/>
              </w:rPr>
              <w:t>指标</w:t>
            </w:r>
          </w:p>
        </w:tc>
        <w:tc>
          <w:tcPr>
            <w:tcW w:w="281" w:type="pct"/>
            <w:vMerge w:val="restart"/>
            <w:shd w:val="clear" w:color="auto" w:fill="auto"/>
            <w:vAlign w:val="center"/>
          </w:tcPr>
          <w:p>
            <w:pPr>
              <w:keepNext w:val="0"/>
              <w:keepLines w:val="0"/>
              <w:pageBreakBefore w:val="0"/>
              <w:kinsoku/>
              <w:wordWrap/>
              <w:overflowPunct/>
              <w:topLinePunct w:val="0"/>
              <w:bidi w:val="0"/>
              <w:jc w:val="center"/>
              <w:textAlignment w:val="auto"/>
              <w:rPr>
                <w:rFonts w:hint="default" w:ascii="宋体" w:hAnsi="宋体" w:eastAsia="宋体" w:cs="宋体"/>
                <w:color w:val="auto"/>
                <w:kern w:val="2"/>
                <w:sz w:val="18"/>
                <w:szCs w:val="18"/>
                <w:lang w:val="en-US" w:eastAsia="zh-CN"/>
              </w:rPr>
            </w:pPr>
            <w:r>
              <w:rPr>
                <w:rFonts w:hint="eastAsia" w:ascii="宋体" w:hAnsi="宋体" w:cs="宋体"/>
                <w:color w:val="auto"/>
                <w:kern w:val="2"/>
                <w:sz w:val="18"/>
                <w:szCs w:val="18"/>
                <w:lang w:val="en-US" w:eastAsia="zh-CN"/>
              </w:rPr>
              <w:t>性能</w:t>
            </w:r>
          </w:p>
        </w:tc>
        <w:tc>
          <w:tcPr>
            <w:tcW w:w="36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导航精度</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导航精度为±</w:t>
            </w:r>
            <w:r>
              <w:rPr>
                <w:rFonts w:hint="eastAsia" w:ascii="宋体" w:hAnsi="宋体" w:eastAsia="宋体" w:cs="宋体"/>
                <w:color w:val="auto"/>
                <w:sz w:val="18"/>
                <w:szCs w:val="18"/>
                <w:lang w:val="en-US" w:eastAsia="zh-CN"/>
              </w:rPr>
              <w:t>10mm</w:t>
            </w:r>
          </w:p>
        </w:tc>
        <w:tc>
          <w:tcPr>
            <w:tcW w:w="1417"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28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p>
        </w:tc>
        <w:tc>
          <w:tcPr>
            <w:tcW w:w="362" w:type="pct"/>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最小旋转半径</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最小旋转半径允许误差为士</w:t>
            </w:r>
            <w:r>
              <w:rPr>
                <w:rFonts w:hint="eastAsia" w:ascii="宋体" w:hAnsi="宋体" w:eastAsia="宋体" w:cs="宋体"/>
                <w:color w:val="auto"/>
                <w:sz w:val="18"/>
                <w:szCs w:val="18"/>
                <w:lang w:val="en-US" w:eastAsia="zh-CN"/>
              </w:rPr>
              <w:t>3</w:t>
            </w:r>
            <w:r>
              <w:rPr>
                <w:rFonts w:hint="eastAsia" w:ascii="宋体" w:hAnsi="宋体" w:eastAsia="宋体" w:cs="宋体"/>
                <w:color w:val="auto"/>
                <w:sz w:val="18"/>
                <w:szCs w:val="18"/>
                <w:lang w:eastAsia="zh-CN"/>
              </w:rPr>
              <w:t>%</w:t>
            </w:r>
          </w:p>
        </w:tc>
        <w:tc>
          <w:tcPr>
            <w:tcW w:w="1417"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10" w:hRule="atLeast"/>
          <w:jc w:val="center"/>
        </w:trPr>
        <w:tc>
          <w:tcPr>
            <w:tcW w:w="42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spacing w:val="20"/>
                <w:sz w:val="18"/>
                <w:szCs w:val="18"/>
                <w:lang w:val="zh-CN" w:eastAsia="zh-CN"/>
              </w:rPr>
            </w:pPr>
          </w:p>
        </w:tc>
        <w:tc>
          <w:tcPr>
            <w:tcW w:w="281" w:type="pct"/>
            <w:vMerge w:val="continue"/>
            <w:tcBorders/>
            <w:shd w:val="clear" w:color="auto" w:fill="auto"/>
            <w:vAlign w:val="center"/>
          </w:tcPr>
          <w:p>
            <w:pPr>
              <w:keepNext w:val="0"/>
              <w:keepLines w:val="0"/>
              <w:pageBreakBefore w:val="0"/>
              <w:kinsoku/>
              <w:wordWrap/>
              <w:overflowPunct/>
              <w:topLinePunct w:val="0"/>
              <w:bidi w:val="0"/>
              <w:jc w:val="center"/>
              <w:textAlignment w:val="auto"/>
              <w:rPr>
                <w:rFonts w:hint="eastAsia" w:ascii="宋体" w:hAnsi="宋体" w:eastAsia="宋体" w:cs="宋体"/>
                <w:color w:val="auto"/>
                <w:kern w:val="2"/>
                <w:sz w:val="18"/>
                <w:szCs w:val="18"/>
                <w:lang w:eastAsia="zh-CN"/>
              </w:rPr>
            </w:pPr>
          </w:p>
        </w:tc>
        <w:tc>
          <w:tcPr>
            <w:tcW w:w="362" w:type="pct"/>
            <w:shd w:val="clear" w:color="auto" w:fill="auto"/>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开动率</w:t>
            </w:r>
          </w:p>
        </w:tc>
        <w:tc>
          <w:tcPr>
            <w:tcW w:w="1810"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AGV在正常工作条件下的开动率应不低于98%</w:t>
            </w:r>
          </w:p>
        </w:tc>
        <w:tc>
          <w:tcPr>
            <w:tcW w:w="1417" w:type="pct"/>
            <w:vAlign w:val="center"/>
          </w:tcPr>
          <w:p>
            <w:pPr>
              <w:keepNext w:val="0"/>
              <w:keepLines w:val="0"/>
              <w:pageBreakBefore w:val="0"/>
              <w:kinsoku/>
              <w:wordWrap/>
              <w:overflowPunct/>
              <w:topLinePunct w:val="0"/>
              <w:bidi w:val="0"/>
              <w:textAlignment w:val="auto"/>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w:t>
            </w:r>
          </w:p>
        </w:tc>
        <w:tc>
          <w:tcPr>
            <w:tcW w:w="706" w:type="pct"/>
            <w:shd w:val="clear" w:color="auto" w:fill="auto"/>
            <w:vAlign w:val="center"/>
          </w:tcPr>
          <w:p>
            <w:pPr>
              <w:keepNext w:val="0"/>
              <w:keepLines w:val="0"/>
              <w:pageBreakBefore w:val="0"/>
              <w:kinsoku/>
              <w:wordWrap/>
              <w:overflowPunct/>
              <w:topLinePunct w:val="0"/>
              <w:bidi w:val="0"/>
              <w:adjustRightInd w:val="0"/>
              <w:snapToGrid w:val="0"/>
              <w:jc w:val="center"/>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新增</w:t>
            </w:r>
          </w:p>
        </w:tc>
      </w:tr>
    </w:tbl>
    <w:p>
      <w:pPr>
        <w:pStyle w:val="16"/>
        <w:spacing w:line="360" w:lineRule="auto"/>
        <w:ind w:firstLine="562"/>
        <w:rPr>
          <w:rFonts w:ascii="仿宋" w:hAnsi="仿宋" w:eastAsia="仿宋" w:cs="仿宋"/>
          <w:b/>
          <w:color w:val="auto"/>
          <w:sz w:val="28"/>
          <w:szCs w:val="28"/>
        </w:rPr>
      </w:pPr>
      <w:r>
        <w:rPr>
          <w:rFonts w:hint="eastAsia" w:ascii="仿宋" w:hAnsi="仿宋" w:eastAsia="仿宋" w:cs="仿宋"/>
          <w:b/>
          <w:color w:val="auto"/>
          <w:sz w:val="28"/>
          <w:szCs w:val="28"/>
        </w:rPr>
        <w:t>标准先进性说明</w:t>
      </w:r>
      <w:r>
        <w:rPr>
          <w:rFonts w:ascii="仿宋" w:hAnsi="仿宋" w:eastAsia="仿宋" w:cs="仿宋"/>
          <w:b/>
          <w:color w:val="auto"/>
          <w:sz w:val="28"/>
          <w:szCs w:val="28"/>
        </w:rPr>
        <w:t>：</w:t>
      </w:r>
    </w:p>
    <w:p>
      <w:pPr>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1）噪声、安全性：反映产品运行的安全卫生性及环保性。</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理由说明：噪声的降低和安全性的提高，可提高产品运行的安全性，对无人操作的产品（如自动导引车）尤为重要</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噪声的降低可有效减少对操作人员的损害和周围环境噪音影响，</w:t>
      </w:r>
      <w:r>
        <w:rPr>
          <w:rFonts w:hint="eastAsia" w:ascii="仿宋" w:hAnsi="仿宋" w:eastAsia="仿宋" w:cs="仿宋"/>
          <w:bCs/>
          <w:sz w:val="28"/>
          <w:szCs w:val="28"/>
          <w:lang w:eastAsia="zh-CN"/>
        </w:rPr>
        <w:t>具有</w:t>
      </w:r>
      <w:r>
        <w:rPr>
          <w:rFonts w:hint="eastAsia" w:ascii="仿宋" w:hAnsi="仿宋" w:eastAsia="仿宋" w:cs="仿宋"/>
          <w:bCs/>
          <w:sz w:val="28"/>
          <w:szCs w:val="28"/>
          <w:lang w:val="en-US" w:eastAsia="zh-CN"/>
        </w:rPr>
        <w:t>职业健康保护和</w:t>
      </w:r>
      <w:r>
        <w:rPr>
          <w:rFonts w:hint="eastAsia" w:ascii="仿宋" w:hAnsi="仿宋" w:eastAsia="仿宋" w:cs="仿宋"/>
          <w:bCs/>
          <w:sz w:val="28"/>
          <w:szCs w:val="28"/>
          <w:lang w:eastAsia="zh-CN"/>
        </w:rPr>
        <w:t>绿色环保的效果。</w:t>
      </w:r>
      <w:r>
        <w:rPr>
          <w:rFonts w:hint="eastAsia" w:ascii="仿宋" w:hAnsi="仿宋" w:eastAsia="仿宋" w:cs="仿宋"/>
          <w:bCs/>
          <w:sz w:val="28"/>
          <w:szCs w:val="28"/>
          <w:lang w:val="en-US" w:eastAsia="zh-CN"/>
        </w:rPr>
        <w:t>这些都</w:t>
      </w:r>
      <w:r>
        <w:rPr>
          <w:rFonts w:hint="eastAsia" w:ascii="仿宋" w:hAnsi="仿宋" w:eastAsia="仿宋" w:cs="仿宋"/>
          <w:bCs/>
          <w:sz w:val="28"/>
          <w:szCs w:val="28"/>
          <w:lang w:eastAsia="zh-CN"/>
        </w:rPr>
        <w:t>是国家推进产品更新换代和绿色发展的新质指标，</w:t>
      </w:r>
      <w:r>
        <w:rPr>
          <w:rFonts w:hint="eastAsia" w:ascii="仿宋" w:hAnsi="仿宋" w:eastAsia="仿宋" w:cs="仿宋"/>
          <w:bCs/>
          <w:sz w:val="28"/>
          <w:szCs w:val="28"/>
          <w:lang w:val="en-US" w:eastAsia="zh-CN"/>
        </w:rPr>
        <w:t>也是产品整体能力提升和确保整机性达到预定要求的关键性指标。</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2）</w:t>
      </w:r>
      <w:r>
        <w:rPr>
          <w:rFonts w:hint="eastAsia" w:ascii="仿宋" w:hAnsi="仿宋" w:eastAsia="仿宋" w:cs="仿宋"/>
          <w:sz w:val="28"/>
          <w:szCs w:val="28"/>
          <w:lang w:eastAsia="zh-CN"/>
        </w:rPr>
        <w:t>停止精度（定位精度）、续航时间、导航精度、最小旋转半径</w:t>
      </w:r>
      <w:r>
        <w:rPr>
          <w:rFonts w:hint="eastAsia" w:ascii="仿宋" w:hAnsi="仿宋" w:eastAsia="仿宋" w:cs="仿宋"/>
          <w:bCs/>
          <w:sz w:val="28"/>
          <w:szCs w:val="28"/>
          <w:lang w:val="en-US" w:eastAsia="zh-CN"/>
        </w:rPr>
        <w:t>：反映产品运行的稳定性和高质量性</w:t>
      </w:r>
    </w:p>
    <w:p>
      <w:pPr>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产品的</w:t>
      </w:r>
      <w:r>
        <w:rPr>
          <w:rFonts w:hint="eastAsia" w:ascii="仿宋" w:hAnsi="仿宋" w:eastAsia="仿宋" w:cs="仿宋"/>
          <w:sz w:val="28"/>
          <w:szCs w:val="28"/>
          <w:lang w:eastAsia="zh-CN"/>
        </w:rPr>
        <w:t>停止精度（定位精度）、续航时间、导航精度、最小旋转半径</w:t>
      </w:r>
      <w:r>
        <w:rPr>
          <w:rFonts w:hint="eastAsia" w:ascii="仿宋" w:hAnsi="仿宋" w:eastAsia="仿宋" w:cs="仿宋"/>
          <w:bCs/>
          <w:sz w:val="28"/>
          <w:szCs w:val="28"/>
          <w:lang w:val="en-US" w:eastAsia="zh-CN"/>
        </w:rPr>
        <w:t>，是客户最关心的关键指标，是企业提高市场竞争力的核心，也是佛山市自动导引车能占据国内外市场的法宝。这些性能指标的提高并优于或新增于国标，将为促进佛山市自动导引车行业的高质量发展并引领行业的发展具有决定性作用，极大促进企业的市场品牌效应。</w:t>
      </w:r>
    </w:p>
    <w:p>
      <w:pPr>
        <w:pStyle w:val="16"/>
        <w:ind w:firstLine="560"/>
        <w:rPr>
          <w:rFonts w:ascii="仿宋" w:hAnsi="仿宋" w:eastAsia="仿宋" w:cs="仿宋"/>
          <w:bCs/>
          <w:sz w:val="28"/>
          <w:szCs w:val="28"/>
        </w:rPr>
      </w:pPr>
      <w:r>
        <w:rPr>
          <w:rFonts w:hint="eastAsia" w:ascii="仿宋" w:hAnsi="仿宋" w:eastAsia="仿宋" w:cs="仿宋"/>
          <w:bCs/>
          <w:sz w:val="28"/>
          <w:szCs w:val="28"/>
          <w:lang w:val="en-US" w:eastAsia="zh-CN"/>
        </w:rPr>
        <w:t>3</w:t>
      </w:r>
      <w:r>
        <w:rPr>
          <w:rFonts w:hint="eastAsia" w:ascii="仿宋" w:hAnsi="仿宋" w:eastAsia="仿宋" w:cs="仿宋"/>
          <w:bCs/>
          <w:sz w:val="28"/>
          <w:szCs w:val="28"/>
        </w:rPr>
        <w:t>）</w:t>
      </w:r>
      <w:bookmarkStart w:id="4" w:name="_Hlk161676697"/>
      <w:r>
        <w:rPr>
          <w:rFonts w:hint="eastAsia" w:ascii="仿宋" w:hAnsi="仿宋" w:eastAsia="仿宋" w:cs="仿宋"/>
          <w:bCs/>
          <w:sz w:val="28"/>
          <w:szCs w:val="28"/>
          <w:lang w:val="en-US" w:eastAsia="zh-CN"/>
        </w:rPr>
        <w:t>开动率</w:t>
      </w:r>
      <w:r>
        <w:rPr>
          <w:rFonts w:hint="eastAsia" w:ascii="仿宋" w:hAnsi="仿宋" w:eastAsia="仿宋" w:cs="仿宋"/>
          <w:bCs/>
          <w:sz w:val="28"/>
          <w:szCs w:val="28"/>
        </w:rPr>
        <w:t>：反映产品</w:t>
      </w:r>
      <w:r>
        <w:rPr>
          <w:rFonts w:hint="eastAsia" w:ascii="仿宋" w:hAnsi="仿宋" w:eastAsia="仿宋" w:cs="仿宋"/>
          <w:bCs/>
          <w:sz w:val="28"/>
          <w:szCs w:val="28"/>
          <w:lang w:eastAsia="zh-CN"/>
        </w:rPr>
        <w:t>高</w:t>
      </w:r>
      <w:r>
        <w:rPr>
          <w:rFonts w:hint="eastAsia" w:ascii="仿宋" w:hAnsi="仿宋" w:eastAsia="仿宋" w:cs="仿宋"/>
          <w:bCs/>
          <w:sz w:val="28"/>
          <w:szCs w:val="28"/>
        </w:rPr>
        <w:t>质量性</w:t>
      </w:r>
      <w:r>
        <w:rPr>
          <w:rFonts w:hint="eastAsia" w:ascii="仿宋" w:hAnsi="仿宋" w:eastAsia="仿宋" w:cs="仿宋"/>
          <w:bCs/>
          <w:sz w:val="28"/>
          <w:szCs w:val="28"/>
          <w:lang w:eastAsia="zh-CN"/>
        </w:rPr>
        <w:t>和前瞻性</w:t>
      </w:r>
      <w:r>
        <w:rPr>
          <w:rFonts w:hint="eastAsia" w:ascii="仿宋" w:hAnsi="仿宋" w:eastAsia="仿宋" w:cs="仿宋"/>
          <w:bCs/>
          <w:sz w:val="28"/>
          <w:szCs w:val="28"/>
        </w:rPr>
        <w:t>。</w:t>
      </w:r>
    </w:p>
    <w:p>
      <w:pPr>
        <w:pStyle w:val="16"/>
        <w:ind w:firstLine="560"/>
        <w:rPr>
          <w:rFonts w:hint="eastAsia" w:ascii="仿宋" w:hAnsi="仿宋" w:eastAsia="仿宋" w:cs="仿宋"/>
          <w:bCs/>
          <w:sz w:val="28"/>
          <w:szCs w:val="28"/>
        </w:rPr>
      </w:pPr>
      <w:r>
        <w:rPr>
          <w:rFonts w:hint="eastAsia" w:ascii="仿宋" w:hAnsi="仿宋" w:eastAsia="仿宋" w:cs="仿宋"/>
          <w:bCs/>
          <w:sz w:val="28"/>
          <w:szCs w:val="28"/>
        </w:rPr>
        <w:t>理由说明：</w:t>
      </w:r>
      <w:bookmarkEnd w:id="4"/>
      <w:r>
        <w:rPr>
          <w:rFonts w:hint="eastAsia" w:ascii="仿宋" w:hAnsi="仿宋" w:eastAsia="仿宋" w:cs="仿宋"/>
          <w:bCs/>
          <w:sz w:val="28"/>
          <w:szCs w:val="28"/>
          <w:lang w:eastAsia="zh-CN"/>
        </w:rPr>
        <w:t>产品</w:t>
      </w:r>
      <w:r>
        <w:rPr>
          <w:rFonts w:hint="eastAsia" w:ascii="仿宋" w:hAnsi="仿宋" w:eastAsia="仿宋" w:cs="仿宋"/>
          <w:bCs/>
          <w:sz w:val="28"/>
          <w:szCs w:val="28"/>
          <w:lang w:val="en-US" w:eastAsia="zh-CN"/>
        </w:rPr>
        <w:t>的开动率反映了产品的正常运行能力，是高端装备的重要指标之一，也</w:t>
      </w:r>
      <w:bookmarkStart w:id="5" w:name="_GoBack"/>
      <w:bookmarkEnd w:id="5"/>
      <w:r>
        <w:rPr>
          <w:rFonts w:hint="eastAsia" w:ascii="仿宋" w:hAnsi="仿宋" w:eastAsia="仿宋" w:cs="仿宋"/>
          <w:bCs/>
          <w:sz w:val="28"/>
          <w:szCs w:val="28"/>
          <w:lang w:eastAsia="zh-CN"/>
        </w:rPr>
        <w:t>是国家产品更新换代和高端装备制造要求的重要内容，是国家在十四五规范中重要产品发展和标准化方向，是国家高质量发展和新质生产力发展的重要内容，集中反映出产品的高质量性和前瞻性，为产品的高质量发展提供了动力</w:t>
      </w:r>
      <w:r>
        <w:rPr>
          <w:rFonts w:hint="eastAsia" w:ascii="仿宋" w:hAnsi="仿宋" w:eastAsia="仿宋" w:cs="仿宋"/>
          <w:bCs/>
          <w:sz w:val="28"/>
          <w:szCs w:val="28"/>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4.2  </w:t>
      </w:r>
      <w:r>
        <w:rPr>
          <w:rFonts w:ascii="黑体" w:hAnsi="宋体" w:eastAsia="黑体" w:cs="黑体"/>
          <w:sz w:val="28"/>
          <w:szCs w:val="28"/>
          <w:lang w:eastAsia="zh-CN"/>
        </w:rPr>
        <w:t>试验方法</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导航精度、最小旋转半径</w:t>
      </w:r>
      <w:r>
        <w:rPr>
          <w:rFonts w:hint="eastAsia" w:ascii="仿宋" w:hAnsi="仿宋" w:eastAsia="仿宋" w:cs="仿宋"/>
          <w:sz w:val="28"/>
          <w:szCs w:val="28"/>
          <w:lang w:val="en-US" w:eastAsia="zh-CN"/>
        </w:rPr>
        <w:t>和</w:t>
      </w:r>
      <w:r>
        <w:rPr>
          <w:rFonts w:hint="eastAsia" w:ascii="仿宋" w:hAnsi="仿宋" w:eastAsia="仿宋" w:cs="仿宋"/>
          <w:sz w:val="28"/>
          <w:szCs w:val="28"/>
          <w:lang w:eastAsia="zh-CN"/>
        </w:rPr>
        <w:t>开动率</w:t>
      </w:r>
      <w:r>
        <w:rPr>
          <w:rFonts w:hint="eastAsia" w:ascii="仿宋" w:hAnsi="仿宋" w:eastAsia="仿宋" w:cs="仿宋"/>
          <w:sz w:val="28"/>
          <w:szCs w:val="28"/>
          <w:lang w:val="en-US" w:eastAsia="zh-CN"/>
        </w:rPr>
        <w:t>为企业的试验方法，并得到了有效验证和市场认可，</w:t>
      </w:r>
      <w:r>
        <w:rPr>
          <w:rFonts w:hint="eastAsia" w:ascii="仿宋" w:hAnsi="仿宋" w:eastAsia="仿宋" w:cs="仿宋"/>
          <w:sz w:val="28"/>
          <w:szCs w:val="28"/>
          <w:lang w:eastAsia="zh-CN"/>
        </w:rPr>
        <w:t>本标准</w:t>
      </w:r>
      <w:r>
        <w:rPr>
          <w:rFonts w:hint="eastAsia" w:ascii="仿宋" w:hAnsi="仿宋" w:eastAsia="仿宋" w:cs="仿宋"/>
          <w:sz w:val="28"/>
          <w:szCs w:val="28"/>
          <w:lang w:val="en-US" w:eastAsia="zh-CN"/>
        </w:rPr>
        <w:t>其它</w:t>
      </w:r>
      <w:r>
        <w:rPr>
          <w:rFonts w:hint="eastAsia" w:ascii="仿宋" w:hAnsi="仿宋" w:eastAsia="仿宋" w:cs="仿宋"/>
          <w:sz w:val="28"/>
          <w:szCs w:val="28"/>
          <w:lang w:eastAsia="zh-CN"/>
        </w:rPr>
        <w:t>要求指标的试验方法均有对应的国家标准和行业标准测试方法，所以本标准的试验方法均采用相应的国家标准和行业标准测试方法进行。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3</w:t>
      </w:r>
      <w:r>
        <w:rPr>
          <w:rFonts w:hint="eastAsia" w:ascii="黑体" w:hAnsi="宋体" w:eastAsia="黑体" w:cs="黑体"/>
          <w:sz w:val="28"/>
          <w:szCs w:val="28"/>
          <w:lang w:eastAsia="zh-CN"/>
        </w:rPr>
        <w:t xml:space="preserve">  </w:t>
      </w:r>
      <w:r>
        <w:rPr>
          <w:rFonts w:ascii="黑体" w:hAnsi="宋体" w:eastAsia="黑体" w:cs="黑体"/>
          <w:sz w:val="28"/>
          <w:szCs w:val="28"/>
          <w:lang w:eastAsia="zh-CN"/>
        </w:rPr>
        <w:t>检验规则</w:t>
      </w:r>
    </w:p>
    <w:p>
      <w:pPr>
        <w:spacing w:line="276"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结合行业的特点，兼顾生产方、买方及第三方的需求，既要保证判定的准确性又要力求可行，将判定规则分为：出厂检验、型式检验和判定规则，</w:t>
      </w:r>
      <w:r>
        <w:rPr>
          <w:rFonts w:hint="eastAsia" w:ascii="仿宋" w:hAnsi="仿宋" w:eastAsia="仿宋" w:cs="仿宋"/>
          <w:sz w:val="28"/>
          <w:szCs w:val="28"/>
          <w:lang w:val="en-US" w:eastAsia="zh-CN"/>
        </w:rPr>
        <w:t>并按</w:t>
      </w:r>
      <w:r>
        <w:rPr>
          <w:rFonts w:hint="eastAsia" w:ascii="仿宋" w:hAnsi="仿宋" w:eastAsia="仿宋" w:cs="仿宋"/>
          <w:sz w:val="28"/>
          <w:szCs w:val="28"/>
          <w:lang w:eastAsia="zh-CN"/>
        </w:rPr>
        <w:t>GB</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T 20721—2022第</w:t>
      </w:r>
      <w:r>
        <w:rPr>
          <w:rFonts w:hint="eastAsia" w:ascii="仿宋" w:hAnsi="仿宋" w:eastAsia="仿宋" w:cs="仿宋"/>
          <w:sz w:val="28"/>
          <w:szCs w:val="28"/>
          <w:lang w:val="en-US" w:eastAsia="zh-CN"/>
        </w:rPr>
        <w:t>8章的规定进行</w:t>
      </w:r>
      <w:r>
        <w:rPr>
          <w:rFonts w:hint="eastAsia" w:ascii="仿宋" w:hAnsi="仿宋" w:eastAsia="仿宋" w:cs="仿宋"/>
          <w:sz w:val="28"/>
          <w:szCs w:val="28"/>
          <w:lang w:eastAsia="zh-CN"/>
        </w:rPr>
        <w:t>。</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w:t>
      </w:r>
      <w:r>
        <w:rPr>
          <w:rFonts w:ascii="黑体" w:hAnsi="宋体" w:eastAsia="黑体" w:cs="黑体"/>
          <w:sz w:val="28"/>
          <w:szCs w:val="28"/>
          <w:lang w:eastAsia="zh-CN"/>
        </w:rPr>
        <w:t>4</w:t>
      </w:r>
      <w:r>
        <w:rPr>
          <w:rFonts w:hint="eastAsia" w:ascii="黑体" w:hAnsi="宋体" w:eastAsia="黑体" w:cs="黑体"/>
          <w:sz w:val="28"/>
          <w:szCs w:val="28"/>
          <w:lang w:eastAsia="zh-CN"/>
        </w:rPr>
        <w:t xml:space="preserve">  标志、</w:t>
      </w:r>
      <w:r>
        <w:rPr>
          <w:rFonts w:ascii="黑体" w:hAnsi="宋体" w:eastAsia="黑体" w:cs="黑体"/>
          <w:sz w:val="28"/>
          <w:szCs w:val="28"/>
          <w:lang w:eastAsia="zh-CN"/>
        </w:rPr>
        <w:t>包装、运输、贮存</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根据国家对产品的使用说明</w:t>
      </w:r>
      <w:r>
        <w:rPr>
          <w:rFonts w:hint="eastAsia" w:ascii="仿宋" w:hAnsi="仿宋" w:eastAsia="仿宋" w:cs="仿宋"/>
          <w:sz w:val="28"/>
          <w:szCs w:val="28"/>
          <w:lang w:val="en-US" w:eastAsia="zh-CN"/>
        </w:rPr>
        <w:t>及GB/T 9969的</w:t>
      </w:r>
      <w:r>
        <w:rPr>
          <w:rFonts w:hint="eastAsia" w:ascii="仿宋" w:hAnsi="仿宋" w:eastAsia="仿宋" w:cs="仿宋"/>
          <w:sz w:val="28"/>
          <w:szCs w:val="28"/>
          <w:lang w:eastAsia="zh-CN"/>
        </w:rPr>
        <w:t>要求，标准规定了产品的使用说明应符合标准中的技术要求。</w:t>
      </w:r>
    </w:p>
    <w:p>
      <w:pPr>
        <w:widowControl/>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产品包装按规定执行，运输、贮存根据产品的需要作了相应的规定。</w:t>
      </w:r>
    </w:p>
    <w:p>
      <w:pPr>
        <w:widowControl/>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其它相关要求按</w:t>
      </w:r>
      <w:r>
        <w:rPr>
          <w:rFonts w:hint="eastAsia" w:ascii="仿宋" w:hAnsi="仿宋" w:eastAsia="仿宋" w:cs="仿宋"/>
          <w:sz w:val="28"/>
          <w:szCs w:val="28"/>
          <w:lang w:eastAsia="zh-CN"/>
        </w:rPr>
        <w:t>GB</w:t>
      </w:r>
      <w:r>
        <w:rPr>
          <w:rFonts w:hint="default" w:ascii="仿宋" w:hAnsi="仿宋" w:eastAsia="仿宋" w:cs="仿宋"/>
          <w:sz w:val="28"/>
          <w:szCs w:val="28"/>
          <w:lang w:val="en-US" w:eastAsia="zh-CN"/>
        </w:rPr>
        <w:t>/</w:t>
      </w:r>
      <w:r>
        <w:rPr>
          <w:rFonts w:hint="eastAsia" w:ascii="仿宋" w:hAnsi="仿宋" w:eastAsia="仿宋" w:cs="仿宋"/>
          <w:sz w:val="28"/>
          <w:szCs w:val="28"/>
          <w:lang w:eastAsia="zh-CN"/>
        </w:rPr>
        <w:t>T 20721—2022第</w:t>
      </w:r>
      <w:r>
        <w:rPr>
          <w:rFonts w:hint="eastAsia" w:ascii="仿宋" w:hAnsi="仿宋" w:eastAsia="仿宋" w:cs="仿宋"/>
          <w:sz w:val="28"/>
          <w:szCs w:val="28"/>
          <w:lang w:val="en-US" w:eastAsia="zh-CN"/>
        </w:rPr>
        <w:t>9章的规定进行.</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4.5  质量承诺</w:t>
      </w:r>
    </w:p>
    <w:p>
      <w:pPr>
        <w:spacing w:line="360" w:lineRule="auto"/>
        <w:ind w:firstLine="560" w:firstLineChars="200"/>
        <w:jc w:val="both"/>
        <w:rPr>
          <w:rFonts w:ascii="仿宋" w:hAnsi="仿宋" w:eastAsia="仿宋" w:cs="仿宋"/>
          <w:sz w:val="28"/>
          <w:szCs w:val="28"/>
          <w:lang w:eastAsia="zh-CN"/>
        </w:rPr>
      </w:pPr>
      <w:r>
        <w:rPr>
          <w:rFonts w:hint="eastAsia" w:ascii="仿宋" w:hAnsi="仿宋" w:eastAsia="仿宋" w:cs="仿宋"/>
          <w:sz w:val="28"/>
          <w:szCs w:val="28"/>
          <w:lang w:eastAsia="zh-CN"/>
        </w:rPr>
        <w:t>规定了产品保修期、维修服务和客户响应。</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5  与现行相关法律、法规、规章及相关标准的协调性</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本标准内容符合现行法律、法规。</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6  标准的实施与宣贯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已批准发布的佛山标准，文本由佛山市佛山标准和卓越绩效管理促进会在官方网站 （http://）上全文公布，供社会免费查阅。鼓励相关单位在标准信息公共服务平台（http://www.cpbz.gov.cn/）上自我声明公开执行本标准。</w:t>
      </w:r>
      <w:r>
        <w:rPr>
          <w:rFonts w:ascii="仿宋" w:hAnsi="仿宋" w:eastAsia="仿宋" w:cs="仿宋"/>
          <w:sz w:val="28"/>
          <w:szCs w:val="28"/>
          <w:lang w:eastAsia="zh-CN"/>
        </w:rPr>
        <w:t> </w:t>
      </w:r>
    </w:p>
    <w:p>
      <w:pPr>
        <w:widowControl/>
        <w:spacing w:line="720" w:lineRule="auto"/>
        <w:rPr>
          <w:rFonts w:ascii="黑体" w:hAnsi="宋体" w:eastAsia="黑体" w:cs="黑体"/>
          <w:sz w:val="28"/>
          <w:szCs w:val="28"/>
          <w:lang w:eastAsia="zh-CN"/>
        </w:rPr>
      </w:pPr>
      <w:r>
        <w:rPr>
          <w:rFonts w:hint="eastAsia" w:ascii="黑体" w:hAnsi="宋体" w:eastAsia="黑体" w:cs="黑体"/>
          <w:sz w:val="28"/>
          <w:szCs w:val="28"/>
          <w:lang w:eastAsia="zh-CN"/>
        </w:rPr>
        <w:t xml:space="preserve">7  其他应予说明的事项 </w:t>
      </w:r>
    </w:p>
    <w:p>
      <w:pPr>
        <w:widowControl/>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标准不涉及专利。</w:t>
      </w:r>
    </w:p>
    <w:p>
      <w:pPr>
        <w:widowControl/>
        <w:spacing w:line="360" w:lineRule="auto"/>
        <w:ind w:firstLine="560" w:firstLineChars="200"/>
        <w:rPr>
          <w:rFonts w:ascii="仿宋" w:hAnsi="仿宋" w:eastAsia="仿宋" w:cs="仿宋"/>
          <w:sz w:val="28"/>
          <w:szCs w:val="28"/>
          <w:lang w:eastAsia="zh-CN"/>
        </w:rPr>
      </w:pPr>
    </w:p>
    <w:p>
      <w:pPr>
        <w:widowControl/>
        <w:spacing w:line="360" w:lineRule="auto"/>
        <w:ind w:firstLine="560" w:firstLineChars="200"/>
        <w:rPr>
          <w:rFonts w:ascii="仿宋" w:hAnsi="仿宋" w:eastAsia="仿宋" w:cs="仿宋"/>
          <w:sz w:val="28"/>
          <w:szCs w:val="28"/>
          <w:lang w:eastAsia="zh-CN"/>
        </w:rPr>
      </w:pPr>
    </w:p>
    <w:p>
      <w:pPr>
        <w:widowControl/>
        <w:spacing w:line="360" w:lineRule="auto"/>
        <w:ind w:firstLine="560" w:firstLineChars="200"/>
        <w:jc w:val="right"/>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《佛山标准 </w:t>
      </w:r>
      <w:r>
        <w:rPr>
          <w:rFonts w:hint="eastAsia" w:ascii="仿宋" w:hAnsi="仿宋" w:eastAsia="仿宋" w:cs="仿宋"/>
          <w:sz w:val="28"/>
          <w:szCs w:val="28"/>
          <w:lang w:val="en-US" w:eastAsia="zh-CN"/>
        </w:rPr>
        <w:t>立式五轴联动激光加工中心</w:t>
      </w:r>
      <w:r>
        <w:rPr>
          <w:rFonts w:hint="eastAsia" w:ascii="仿宋" w:hAnsi="仿宋" w:eastAsia="仿宋" w:cs="仿宋"/>
          <w:sz w:val="28"/>
          <w:szCs w:val="28"/>
          <w:lang w:eastAsia="zh-CN"/>
        </w:rPr>
        <w:t xml:space="preserve">》标准研制工作组 </w:t>
      </w:r>
    </w:p>
    <w:p>
      <w:pPr>
        <w:widowControl/>
        <w:spacing w:line="360" w:lineRule="auto"/>
        <w:ind w:right="1120" w:firstLine="560" w:firstLineChars="200"/>
        <w:jc w:val="right"/>
        <w:rPr>
          <w:rFonts w:ascii="仿宋" w:hAnsi="仿宋" w:eastAsia="仿宋" w:cs="仿宋"/>
          <w:sz w:val="28"/>
          <w:szCs w:val="28"/>
          <w:lang w:eastAsia="zh-CN"/>
        </w:rPr>
      </w:pPr>
      <w:r>
        <w:rPr>
          <w:rFonts w:hint="eastAsia" w:ascii="仿宋" w:hAnsi="仿宋" w:eastAsia="仿宋" w:cs="仿宋"/>
          <w:sz w:val="28"/>
          <w:szCs w:val="28"/>
          <w:lang w:eastAsia="zh-CN"/>
        </w:rPr>
        <w:t>202</w:t>
      </w:r>
      <w:r>
        <w:rPr>
          <w:rFonts w:ascii="仿宋" w:hAnsi="仿宋" w:eastAsia="仿宋" w:cs="仿宋"/>
          <w:sz w:val="28"/>
          <w:szCs w:val="28"/>
          <w:lang w:eastAsia="zh-CN"/>
        </w:rPr>
        <w:t>4</w:t>
      </w:r>
      <w:r>
        <w:rPr>
          <w:rFonts w:hint="eastAsia" w:ascii="仿宋" w:hAnsi="仿宋" w:eastAsia="仿宋" w:cs="仿宋"/>
          <w:sz w:val="28"/>
          <w:szCs w:val="28"/>
          <w:lang w:eastAsia="zh-CN"/>
        </w:rPr>
        <w:t>年</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月</w:t>
      </w:r>
      <w:r>
        <w:rPr>
          <w:rFonts w:hint="eastAsia" w:ascii="仿宋" w:hAnsi="仿宋" w:eastAsia="仿宋" w:cs="仿宋"/>
          <w:sz w:val="28"/>
          <w:szCs w:val="28"/>
          <w:lang w:val="en-US" w:eastAsia="zh-CN"/>
        </w:rPr>
        <w:t>1</w:t>
      </w:r>
      <w:r>
        <w:rPr>
          <w:rFonts w:ascii="仿宋" w:hAnsi="仿宋" w:eastAsia="仿宋" w:cs="仿宋"/>
          <w:sz w:val="28"/>
          <w:szCs w:val="28"/>
          <w:lang w:eastAsia="zh-CN"/>
        </w:rPr>
        <w:t>6</w:t>
      </w:r>
      <w:r>
        <w:rPr>
          <w:rFonts w:hint="eastAsia" w:ascii="仿宋" w:hAnsi="仿宋" w:eastAsia="仿宋" w:cs="仿宋"/>
          <w:sz w:val="28"/>
          <w:szCs w:val="28"/>
          <w:lang w:eastAsia="zh-CN"/>
        </w:rPr>
        <w:t>日</w:t>
      </w:r>
    </w:p>
    <w:p>
      <w:pPr>
        <w:widowControl/>
        <w:spacing w:line="360" w:lineRule="auto"/>
        <w:ind w:firstLine="560" w:firstLineChars="200"/>
        <w:jc w:val="right"/>
        <w:rPr>
          <w:rFonts w:ascii="仿宋" w:hAnsi="仿宋" w:eastAsia="仿宋" w:cs="仿宋"/>
          <w:sz w:val="28"/>
          <w:szCs w:val="28"/>
          <w:lang w:eastAsia="zh-CN"/>
        </w:rPr>
      </w:pPr>
    </w:p>
    <w:p>
      <w:pPr>
        <w:widowControl/>
        <w:spacing w:line="360" w:lineRule="auto"/>
        <w:ind w:firstLine="560" w:firstLineChars="200"/>
        <w:jc w:val="right"/>
        <w:rPr>
          <w:rFonts w:ascii="仿宋" w:hAnsi="仿宋" w:eastAsia="仿宋" w:cs="仿宋"/>
          <w:sz w:val="28"/>
          <w:szCs w:val="28"/>
          <w:lang w:eastAsia="zh-CN"/>
        </w:rPr>
      </w:pPr>
    </w:p>
    <w:sectPr>
      <w:footerReference r:id="rId3" w:type="default"/>
      <w:pgSz w:w="11906" w:h="16838"/>
      <w:pgMar w:top="1440" w:right="1080" w:bottom="1440" w:left="1080" w:header="851" w:footer="992" w:gutter="0"/>
      <w:cols w:space="425" w:num="1"/>
      <w:docGrid w:type="lines" w:linePitch="32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lang w:eastAsia="zh-CN"/>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v:path/>
          <v:fill on="f" focussize="0,0"/>
          <v:stroke on="f" weight="0.5pt" joinstyle="miter"/>
          <v:imagedata o:title=""/>
          <o:lock v:ext="edit"/>
          <v:textbox inset="0mm,0mm,0mm,0mm" style="mso-fit-shape-to-text:t;">
            <w:txbxContent>
              <w:p>
                <w:pPr>
                  <w:pStyle w:val="7"/>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10</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EC9D27"/>
    <w:multiLevelType w:val="singleLevel"/>
    <w:tmpl w:val="F2EC9D27"/>
    <w:lvl w:ilvl="0" w:tentative="0">
      <w:start w:val="1"/>
      <w:numFmt w:val="decimal"/>
      <w:suff w:val="nothing"/>
      <w:lvlText w:val="%1）"/>
      <w:lvlJc w:val="left"/>
    </w:lvl>
  </w:abstractNum>
  <w:abstractNum w:abstractNumId="1">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9782EDA"/>
    <w:multiLevelType w:val="multilevel"/>
    <w:tmpl w:val="19782EDA"/>
    <w:lvl w:ilvl="0" w:tentative="0">
      <w:start w:val="1"/>
      <w:numFmt w:val="lowerLetter"/>
      <w:pStyle w:val="22"/>
      <w:lvlText w:val="%1)"/>
      <w:lvlJc w:val="left"/>
      <w:pPr>
        <w:tabs>
          <w:tab w:val="left" w:pos="840"/>
        </w:tabs>
        <w:ind w:left="839" w:hanging="419"/>
      </w:pPr>
      <w:rPr>
        <w:rFonts w:hint="eastAsia" w:ascii="宋体" w:hAnsi="Times New Roman" w:eastAsia="宋体" w:cs="宋体"/>
        <w:b w:val="0"/>
        <w:sz w:val="21"/>
        <w:szCs w:val="21"/>
      </w:rPr>
    </w:lvl>
    <w:lvl w:ilvl="1" w:tentative="0">
      <w:start w:val="1"/>
      <w:numFmt w:val="decimal"/>
      <w:lvlText w:val="%2)"/>
      <w:lvlJc w:val="left"/>
      <w:pPr>
        <w:tabs>
          <w:tab w:val="left" w:pos="1260"/>
        </w:tabs>
        <w:ind w:left="1259" w:hanging="419"/>
      </w:pPr>
    </w:lvl>
    <w:lvl w:ilvl="2" w:tentative="0">
      <w:start w:val="1"/>
      <w:numFmt w:val="decimal"/>
      <w:lvlText w:val="(%3)"/>
      <w:lvlJc w:val="left"/>
      <w:pPr>
        <w:tabs>
          <w:tab w:val="left" w:pos="0"/>
        </w:tabs>
        <w:ind w:left="1679" w:hanging="420"/>
      </w:pPr>
      <w:rPr>
        <w:rFonts w:hint="eastAsia" w:ascii="宋体" w:hAnsi="Times New Roman" w:eastAsia="宋体" w:cs="宋体"/>
        <w:b w:val="0"/>
        <w:sz w:val="21"/>
        <w:szCs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B800546"/>
    <w:multiLevelType w:val="multilevel"/>
    <w:tmpl w:val="2B800546"/>
    <w:lvl w:ilvl="0" w:tentative="0">
      <w:start w:val="1"/>
      <w:numFmt w:val="lowerLetter"/>
      <w:pStyle w:val="41"/>
      <w:lvlText w:val="%1)"/>
      <w:lvlJc w:val="left"/>
      <w:pPr>
        <w:tabs>
          <w:tab w:val="left" w:pos="850"/>
        </w:tabs>
        <w:ind w:left="850" w:hanging="425"/>
      </w:pPr>
      <w:rPr>
        <w:rFonts w:hint="eastAsia" w:ascii="宋体" w:hAnsi="宋体" w:eastAsia="宋体"/>
        <w:sz w:val="20"/>
      </w:rPr>
    </w:lvl>
    <w:lvl w:ilvl="1" w:tentative="0">
      <w:start w:val="1"/>
      <w:numFmt w:val="decimal"/>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5">
    <w:nsid w:val="557C2AF5"/>
    <w:multiLevelType w:val="multilevel"/>
    <w:tmpl w:val="557C2AF5"/>
    <w:lvl w:ilvl="0" w:tentative="0">
      <w:start w:val="1"/>
      <w:numFmt w:val="decimal"/>
      <w:pStyle w:val="3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46260FA"/>
    <w:multiLevelType w:val="multilevel"/>
    <w:tmpl w:val="646260FA"/>
    <w:lvl w:ilvl="0" w:tentative="0">
      <w:start w:val="1"/>
      <w:numFmt w:val="decimal"/>
      <w:pStyle w:val="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7D090C6"/>
    <w:multiLevelType w:val="multilevel"/>
    <w:tmpl w:val="67D090C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6FC930AC"/>
    <w:multiLevelType w:val="multilevel"/>
    <w:tmpl w:val="6FC930AC"/>
    <w:lvl w:ilvl="0" w:tentative="0">
      <w:start w:val="1"/>
      <w:numFmt w:val="decimal"/>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pStyle w:val="40"/>
      <w:suff w:val="nothing"/>
      <w:lvlText w:val="%1.%2.%3　"/>
      <w:lvlJc w:val="left"/>
      <w:pPr>
        <w:ind w:left="0" w:firstLine="0"/>
      </w:pPr>
      <w:rPr>
        <w:rFonts w:hint="eastAsia" w:ascii="黑体" w:hAnsi="黑体" w:eastAsia="黑体"/>
        <w:sz w:val="20"/>
      </w:rPr>
    </w:lvl>
    <w:lvl w:ilvl="3" w:tentative="0">
      <w:start w:val="1"/>
      <w:numFmt w:val="decimal"/>
      <w:suff w:val="nothing"/>
      <w:lvlText w:val="%1.%2.%3.%4　"/>
      <w:lvlJc w:val="left"/>
      <w:pPr>
        <w:ind w:left="0" w:firstLine="0"/>
      </w:pPr>
      <w:rPr>
        <w:rFonts w:hint="eastAsia" w:ascii="黑体" w:hAnsi="黑体" w:eastAsia="黑体"/>
        <w:sz w:val="20"/>
      </w:rPr>
    </w:lvl>
    <w:lvl w:ilvl="4" w:tentative="0">
      <w:start w:val="1"/>
      <w:numFmt w:val="decimal"/>
      <w:suff w:val="nothing"/>
      <w:lvlText w:val="%1.%2.%3.%4.%5　"/>
      <w:lvlJc w:val="left"/>
      <w:pPr>
        <w:ind w:left="0" w:firstLine="0"/>
      </w:pPr>
      <w:rPr>
        <w:rFonts w:hint="eastAsia" w:ascii="黑体" w:hAnsi="黑体" w:eastAsia="黑体"/>
        <w:sz w:val="20"/>
      </w:rPr>
    </w:lvl>
    <w:lvl w:ilvl="5" w:tentative="0">
      <w:start w:val="1"/>
      <w:numFmt w:val="decimal"/>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7279CB2F"/>
    <w:multiLevelType w:val="singleLevel"/>
    <w:tmpl w:val="7279CB2F"/>
    <w:lvl w:ilvl="0" w:tentative="0">
      <w:start w:val="1"/>
      <w:numFmt w:val="decimal"/>
      <w:suff w:val="nothing"/>
      <w:lvlText w:val="%1）"/>
      <w:lvlJc w:val="left"/>
    </w:lvl>
  </w:abstractNum>
  <w:num w:numId="1">
    <w:abstractNumId w:val="3"/>
  </w:num>
  <w:num w:numId="2">
    <w:abstractNumId w:val="2"/>
  </w:num>
  <w:num w:numId="3">
    <w:abstractNumId w:val="1"/>
  </w:num>
  <w:num w:numId="4">
    <w:abstractNumId w:val="6"/>
  </w:num>
  <w:num w:numId="5">
    <w:abstractNumId w:val="5"/>
  </w:num>
  <w:num w:numId="6">
    <w:abstractNumId w:val="8"/>
  </w:num>
  <w:num w:numId="7">
    <w:abstractNumId w:val="4"/>
  </w:num>
  <w:num w:numId="8">
    <w:abstractNumId w:val="7"/>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Q3NzI0YjNlNjM1OWRmMTNmYzVhZDE1Nzk1MzVlOTEifQ=="/>
  </w:docVars>
  <w:rsids>
    <w:rsidRoot w:val="5EBC12FA"/>
    <w:rsid w:val="00002D36"/>
    <w:rsid w:val="00010510"/>
    <w:rsid w:val="0001069C"/>
    <w:rsid w:val="0001178E"/>
    <w:rsid w:val="00011B1D"/>
    <w:rsid w:val="000133BD"/>
    <w:rsid w:val="00017C5C"/>
    <w:rsid w:val="00020296"/>
    <w:rsid w:val="000210B7"/>
    <w:rsid w:val="0002183F"/>
    <w:rsid w:val="00021B53"/>
    <w:rsid w:val="0002393D"/>
    <w:rsid w:val="000256A0"/>
    <w:rsid w:val="00026E7C"/>
    <w:rsid w:val="000315F1"/>
    <w:rsid w:val="000324BA"/>
    <w:rsid w:val="000327C0"/>
    <w:rsid w:val="0003468E"/>
    <w:rsid w:val="00035EB0"/>
    <w:rsid w:val="000379E8"/>
    <w:rsid w:val="000400C3"/>
    <w:rsid w:val="0004121A"/>
    <w:rsid w:val="000416D2"/>
    <w:rsid w:val="00041A0B"/>
    <w:rsid w:val="000439EC"/>
    <w:rsid w:val="00046ECD"/>
    <w:rsid w:val="000532DB"/>
    <w:rsid w:val="00054019"/>
    <w:rsid w:val="00055186"/>
    <w:rsid w:val="000574F9"/>
    <w:rsid w:val="0005788F"/>
    <w:rsid w:val="00061B69"/>
    <w:rsid w:val="00061FBE"/>
    <w:rsid w:val="000630C5"/>
    <w:rsid w:val="00063DFD"/>
    <w:rsid w:val="0006524A"/>
    <w:rsid w:val="00066063"/>
    <w:rsid w:val="000673F4"/>
    <w:rsid w:val="00067B62"/>
    <w:rsid w:val="00070FBE"/>
    <w:rsid w:val="000738BC"/>
    <w:rsid w:val="000760AF"/>
    <w:rsid w:val="00076BAA"/>
    <w:rsid w:val="0008080B"/>
    <w:rsid w:val="00081572"/>
    <w:rsid w:val="0008480B"/>
    <w:rsid w:val="00085839"/>
    <w:rsid w:val="0008624E"/>
    <w:rsid w:val="00087088"/>
    <w:rsid w:val="0008780E"/>
    <w:rsid w:val="0009129D"/>
    <w:rsid w:val="0009542D"/>
    <w:rsid w:val="000960BF"/>
    <w:rsid w:val="000973D8"/>
    <w:rsid w:val="00097D97"/>
    <w:rsid w:val="000A0057"/>
    <w:rsid w:val="000A03FB"/>
    <w:rsid w:val="000A1E89"/>
    <w:rsid w:val="000A4042"/>
    <w:rsid w:val="000A43C3"/>
    <w:rsid w:val="000A466B"/>
    <w:rsid w:val="000B040B"/>
    <w:rsid w:val="000B1D65"/>
    <w:rsid w:val="000B29B4"/>
    <w:rsid w:val="000B420C"/>
    <w:rsid w:val="000B71E6"/>
    <w:rsid w:val="000B7755"/>
    <w:rsid w:val="000C2289"/>
    <w:rsid w:val="000C3665"/>
    <w:rsid w:val="000C4BCF"/>
    <w:rsid w:val="000C6CB6"/>
    <w:rsid w:val="000C7C69"/>
    <w:rsid w:val="000D0B48"/>
    <w:rsid w:val="000D1BE4"/>
    <w:rsid w:val="000D34D8"/>
    <w:rsid w:val="000D4BC3"/>
    <w:rsid w:val="000D579A"/>
    <w:rsid w:val="000E007C"/>
    <w:rsid w:val="000E03A1"/>
    <w:rsid w:val="000E074D"/>
    <w:rsid w:val="000E176B"/>
    <w:rsid w:val="000E4E4F"/>
    <w:rsid w:val="000E53C5"/>
    <w:rsid w:val="000F14B2"/>
    <w:rsid w:val="000F2509"/>
    <w:rsid w:val="000F252D"/>
    <w:rsid w:val="00101C70"/>
    <w:rsid w:val="00101ECB"/>
    <w:rsid w:val="0010348A"/>
    <w:rsid w:val="00106EAD"/>
    <w:rsid w:val="00110881"/>
    <w:rsid w:val="00111465"/>
    <w:rsid w:val="001114FF"/>
    <w:rsid w:val="0012051C"/>
    <w:rsid w:val="00124AB0"/>
    <w:rsid w:val="00127180"/>
    <w:rsid w:val="00131104"/>
    <w:rsid w:val="001354F7"/>
    <w:rsid w:val="001368AB"/>
    <w:rsid w:val="00137EC5"/>
    <w:rsid w:val="001403CC"/>
    <w:rsid w:val="001422EC"/>
    <w:rsid w:val="00142703"/>
    <w:rsid w:val="00151F4E"/>
    <w:rsid w:val="001522C3"/>
    <w:rsid w:val="00154027"/>
    <w:rsid w:val="00157412"/>
    <w:rsid w:val="00160A3B"/>
    <w:rsid w:val="001620FC"/>
    <w:rsid w:val="001665F6"/>
    <w:rsid w:val="001673BC"/>
    <w:rsid w:val="00174901"/>
    <w:rsid w:val="0017524B"/>
    <w:rsid w:val="00177050"/>
    <w:rsid w:val="001805B8"/>
    <w:rsid w:val="00187A3D"/>
    <w:rsid w:val="00192A8A"/>
    <w:rsid w:val="001955CB"/>
    <w:rsid w:val="0019614F"/>
    <w:rsid w:val="001A4E9C"/>
    <w:rsid w:val="001A6329"/>
    <w:rsid w:val="001A634B"/>
    <w:rsid w:val="001A7065"/>
    <w:rsid w:val="001A7B84"/>
    <w:rsid w:val="001B06B8"/>
    <w:rsid w:val="001B1B8E"/>
    <w:rsid w:val="001B4C07"/>
    <w:rsid w:val="001B4F98"/>
    <w:rsid w:val="001B7C1E"/>
    <w:rsid w:val="001C076A"/>
    <w:rsid w:val="001C29DA"/>
    <w:rsid w:val="001C37E3"/>
    <w:rsid w:val="001C4949"/>
    <w:rsid w:val="001C7AA8"/>
    <w:rsid w:val="001C7BB6"/>
    <w:rsid w:val="001D6418"/>
    <w:rsid w:val="001D6A9E"/>
    <w:rsid w:val="001E0E6D"/>
    <w:rsid w:val="001E1893"/>
    <w:rsid w:val="001E383F"/>
    <w:rsid w:val="001E6A03"/>
    <w:rsid w:val="001F4EE2"/>
    <w:rsid w:val="001F6E8E"/>
    <w:rsid w:val="001F74B6"/>
    <w:rsid w:val="0020028E"/>
    <w:rsid w:val="002011A2"/>
    <w:rsid w:val="0020124A"/>
    <w:rsid w:val="00205F8F"/>
    <w:rsid w:val="002060F4"/>
    <w:rsid w:val="00206D85"/>
    <w:rsid w:val="0020738D"/>
    <w:rsid w:val="00216CD4"/>
    <w:rsid w:val="00221540"/>
    <w:rsid w:val="002215F7"/>
    <w:rsid w:val="0022161E"/>
    <w:rsid w:val="00221B6D"/>
    <w:rsid w:val="002274A4"/>
    <w:rsid w:val="00227F08"/>
    <w:rsid w:val="00230F1B"/>
    <w:rsid w:val="002317F8"/>
    <w:rsid w:val="002329C3"/>
    <w:rsid w:val="002350EA"/>
    <w:rsid w:val="002400C7"/>
    <w:rsid w:val="00242C58"/>
    <w:rsid w:val="00244A0D"/>
    <w:rsid w:val="00244B76"/>
    <w:rsid w:val="00244E49"/>
    <w:rsid w:val="00246CAA"/>
    <w:rsid w:val="0024794B"/>
    <w:rsid w:val="00250AC6"/>
    <w:rsid w:val="00253AA8"/>
    <w:rsid w:val="00257EDA"/>
    <w:rsid w:val="00263B91"/>
    <w:rsid w:val="00264B27"/>
    <w:rsid w:val="002651C7"/>
    <w:rsid w:val="00266373"/>
    <w:rsid w:val="002702B7"/>
    <w:rsid w:val="00271257"/>
    <w:rsid w:val="00271ADF"/>
    <w:rsid w:val="00277FAD"/>
    <w:rsid w:val="00281521"/>
    <w:rsid w:val="00281848"/>
    <w:rsid w:val="00281C72"/>
    <w:rsid w:val="00282F6B"/>
    <w:rsid w:val="002834AE"/>
    <w:rsid w:val="00283E16"/>
    <w:rsid w:val="002864DD"/>
    <w:rsid w:val="002867A3"/>
    <w:rsid w:val="00287145"/>
    <w:rsid w:val="002912CF"/>
    <w:rsid w:val="00293B91"/>
    <w:rsid w:val="00294765"/>
    <w:rsid w:val="00294B38"/>
    <w:rsid w:val="00294D13"/>
    <w:rsid w:val="002A1F2C"/>
    <w:rsid w:val="002A4377"/>
    <w:rsid w:val="002A6D11"/>
    <w:rsid w:val="002A6E58"/>
    <w:rsid w:val="002A7F08"/>
    <w:rsid w:val="002B1159"/>
    <w:rsid w:val="002B1C95"/>
    <w:rsid w:val="002B207C"/>
    <w:rsid w:val="002B7DE2"/>
    <w:rsid w:val="002C11AC"/>
    <w:rsid w:val="002C2535"/>
    <w:rsid w:val="002C38B5"/>
    <w:rsid w:val="002C57FC"/>
    <w:rsid w:val="002C782D"/>
    <w:rsid w:val="002D1B11"/>
    <w:rsid w:val="002D3DEF"/>
    <w:rsid w:val="002E4FB0"/>
    <w:rsid w:val="002E6186"/>
    <w:rsid w:val="002E6C99"/>
    <w:rsid w:val="002F16CD"/>
    <w:rsid w:val="002F1B13"/>
    <w:rsid w:val="002F226C"/>
    <w:rsid w:val="002F3A01"/>
    <w:rsid w:val="002F448C"/>
    <w:rsid w:val="002F4C40"/>
    <w:rsid w:val="003014FB"/>
    <w:rsid w:val="00301655"/>
    <w:rsid w:val="00304B2E"/>
    <w:rsid w:val="00306562"/>
    <w:rsid w:val="003147F9"/>
    <w:rsid w:val="00321415"/>
    <w:rsid w:val="003216CD"/>
    <w:rsid w:val="00322FE3"/>
    <w:rsid w:val="003233E8"/>
    <w:rsid w:val="00335D75"/>
    <w:rsid w:val="0034212A"/>
    <w:rsid w:val="003446E3"/>
    <w:rsid w:val="00344E73"/>
    <w:rsid w:val="00353C90"/>
    <w:rsid w:val="0035716D"/>
    <w:rsid w:val="00357589"/>
    <w:rsid w:val="00357EF1"/>
    <w:rsid w:val="0036151E"/>
    <w:rsid w:val="00363708"/>
    <w:rsid w:val="0036388E"/>
    <w:rsid w:val="00365011"/>
    <w:rsid w:val="0036575A"/>
    <w:rsid w:val="00365B55"/>
    <w:rsid w:val="00366E71"/>
    <w:rsid w:val="0037008B"/>
    <w:rsid w:val="00373E56"/>
    <w:rsid w:val="003754A7"/>
    <w:rsid w:val="003761C2"/>
    <w:rsid w:val="0037647E"/>
    <w:rsid w:val="00377747"/>
    <w:rsid w:val="003806C6"/>
    <w:rsid w:val="00382119"/>
    <w:rsid w:val="0038265D"/>
    <w:rsid w:val="00382F30"/>
    <w:rsid w:val="00383123"/>
    <w:rsid w:val="003852C7"/>
    <w:rsid w:val="00387619"/>
    <w:rsid w:val="00391E6A"/>
    <w:rsid w:val="003920D1"/>
    <w:rsid w:val="00392E7F"/>
    <w:rsid w:val="003935F0"/>
    <w:rsid w:val="003A2729"/>
    <w:rsid w:val="003A294C"/>
    <w:rsid w:val="003A4471"/>
    <w:rsid w:val="003A6933"/>
    <w:rsid w:val="003A6F31"/>
    <w:rsid w:val="003B1DCC"/>
    <w:rsid w:val="003B434C"/>
    <w:rsid w:val="003B4646"/>
    <w:rsid w:val="003B523B"/>
    <w:rsid w:val="003B61C4"/>
    <w:rsid w:val="003B7AAA"/>
    <w:rsid w:val="003B7CD0"/>
    <w:rsid w:val="003B7DB1"/>
    <w:rsid w:val="003C1C38"/>
    <w:rsid w:val="003C27D7"/>
    <w:rsid w:val="003C53D9"/>
    <w:rsid w:val="003C633A"/>
    <w:rsid w:val="003C6353"/>
    <w:rsid w:val="003D0264"/>
    <w:rsid w:val="003D05AA"/>
    <w:rsid w:val="003E101B"/>
    <w:rsid w:val="003E11D6"/>
    <w:rsid w:val="003E1B3E"/>
    <w:rsid w:val="003E1BBA"/>
    <w:rsid w:val="003E1EA4"/>
    <w:rsid w:val="003E2D05"/>
    <w:rsid w:val="003E4AF6"/>
    <w:rsid w:val="003E6541"/>
    <w:rsid w:val="003F518E"/>
    <w:rsid w:val="00402E8B"/>
    <w:rsid w:val="00403B11"/>
    <w:rsid w:val="00405B9E"/>
    <w:rsid w:val="0040752C"/>
    <w:rsid w:val="0041035E"/>
    <w:rsid w:val="00410A58"/>
    <w:rsid w:val="004117B5"/>
    <w:rsid w:val="00414868"/>
    <w:rsid w:val="0041491C"/>
    <w:rsid w:val="00414E87"/>
    <w:rsid w:val="0041610B"/>
    <w:rsid w:val="004206AF"/>
    <w:rsid w:val="004206C8"/>
    <w:rsid w:val="00421517"/>
    <w:rsid w:val="004252B8"/>
    <w:rsid w:val="00425E47"/>
    <w:rsid w:val="00427688"/>
    <w:rsid w:val="00427D0F"/>
    <w:rsid w:val="00431B7D"/>
    <w:rsid w:val="00434715"/>
    <w:rsid w:val="00437BBC"/>
    <w:rsid w:val="004408E1"/>
    <w:rsid w:val="0044136E"/>
    <w:rsid w:val="00441D4F"/>
    <w:rsid w:val="0044370C"/>
    <w:rsid w:val="00444833"/>
    <w:rsid w:val="004455B9"/>
    <w:rsid w:val="0044647E"/>
    <w:rsid w:val="0045134B"/>
    <w:rsid w:val="00454A10"/>
    <w:rsid w:val="00455DCD"/>
    <w:rsid w:val="004563C2"/>
    <w:rsid w:val="004567D2"/>
    <w:rsid w:val="004601C6"/>
    <w:rsid w:val="00461F94"/>
    <w:rsid w:val="00462AEF"/>
    <w:rsid w:val="0046556B"/>
    <w:rsid w:val="00467449"/>
    <w:rsid w:val="0047005D"/>
    <w:rsid w:val="00470A7D"/>
    <w:rsid w:val="0047385A"/>
    <w:rsid w:val="00473D05"/>
    <w:rsid w:val="0047510E"/>
    <w:rsid w:val="0047574F"/>
    <w:rsid w:val="00477962"/>
    <w:rsid w:val="00482E82"/>
    <w:rsid w:val="0048578A"/>
    <w:rsid w:val="00485AD9"/>
    <w:rsid w:val="00490A31"/>
    <w:rsid w:val="00492782"/>
    <w:rsid w:val="0049433D"/>
    <w:rsid w:val="00494B94"/>
    <w:rsid w:val="004966D8"/>
    <w:rsid w:val="00497603"/>
    <w:rsid w:val="004A248B"/>
    <w:rsid w:val="004A64F5"/>
    <w:rsid w:val="004A68BA"/>
    <w:rsid w:val="004A73F6"/>
    <w:rsid w:val="004B07A8"/>
    <w:rsid w:val="004B2320"/>
    <w:rsid w:val="004B5221"/>
    <w:rsid w:val="004B59D8"/>
    <w:rsid w:val="004B7473"/>
    <w:rsid w:val="004C1DDC"/>
    <w:rsid w:val="004C768A"/>
    <w:rsid w:val="004D13D4"/>
    <w:rsid w:val="004D14A2"/>
    <w:rsid w:val="004D2BB9"/>
    <w:rsid w:val="004D4F92"/>
    <w:rsid w:val="004E0381"/>
    <w:rsid w:val="004E18D1"/>
    <w:rsid w:val="004E5CAA"/>
    <w:rsid w:val="004F20D7"/>
    <w:rsid w:val="004F3238"/>
    <w:rsid w:val="004F4268"/>
    <w:rsid w:val="004F5A0D"/>
    <w:rsid w:val="004F602B"/>
    <w:rsid w:val="00500F0C"/>
    <w:rsid w:val="005063CA"/>
    <w:rsid w:val="0051255A"/>
    <w:rsid w:val="00514E71"/>
    <w:rsid w:val="005168F0"/>
    <w:rsid w:val="00521868"/>
    <w:rsid w:val="00522646"/>
    <w:rsid w:val="00522869"/>
    <w:rsid w:val="00523A2F"/>
    <w:rsid w:val="0052528F"/>
    <w:rsid w:val="0053036C"/>
    <w:rsid w:val="00530AE3"/>
    <w:rsid w:val="00531905"/>
    <w:rsid w:val="0054426D"/>
    <w:rsid w:val="00544805"/>
    <w:rsid w:val="00545D6A"/>
    <w:rsid w:val="00546067"/>
    <w:rsid w:val="005466E8"/>
    <w:rsid w:val="00551008"/>
    <w:rsid w:val="005546C6"/>
    <w:rsid w:val="00554962"/>
    <w:rsid w:val="00555EFC"/>
    <w:rsid w:val="00562D2E"/>
    <w:rsid w:val="005632F6"/>
    <w:rsid w:val="005637C1"/>
    <w:rsid w:val="00564246"/>
    <w:rsid w:val="0056425C"/>
    <w:rsid w:val="00567894"/>
    <w:rsid w:val="005710E8"/>
    <w:rsid w:val="005727B0"/>
    <w:rsid w:val="00575827"/>
    <w:rsid w:val="00575E97"/>
    <w:rsid w:val="005770DC"/>
    <w:rsid w:val="00577CBB"/>
    <w:rsid w:val="00585DE2"/>
    <w:rsid w:val="00587050"/>
    <w:rsid w:val="0058749A"/>
    <w:rsid w:val="00587ED9"/>
    <w:rsid w:val="005912D6"/>
    <w:rsid w:val="00591FE7"/>
    <w:rsid w:val="00594DDE"/>
    <w:rsid w:val="00595B33"/>
    <w:rsid w:val="00596341"/>
    <w:rsid w:val="005A22EC"/>
    <w:rsid w:val="005A2C0F"/>
    <w:rsid w:val="005A3F23"/>
    <w:rsid w:val="005A7830"/>
    <w:rsid w:val="005B0448"/>
    <w:rsid w:val="005B1E54"/>
    <w:rsid w:val="005B64B8"/>
    <w:rsid w:val="005B7834"/>
    <w:rsid w:val="005B7E28"/>
    <w:rsid w:val="005C02FA"/>
    <w:rsid w:val="005C40E6"/>
    <w:rsid w:val="005C4302"/>
    <w:rsid w:val="005C597B"/>
    <w:rsid w:val="005C59BA"/>
    <w:rsid w:val="005C7FED"/>
    <w:rsid w:val="005D08FA"/>
    <w:rsid w:val="005D1622"/>
    <w:rsid w:val="005D1E75"/>
    <w:rsid w:val="005D483A"/>
    <w:rsid w:val="005E05D8"/>
    <w:rsid w:val="005E1235"/>
    <w:rsid w:val="005E4B37"/>
    <w:rsid w:val="005E506B"/>
    <w:rsid w:val="005E7033"/>
    <w:rsid w:val="005F07C1"/>
    <w:rsid w:val="005F119D"/>
    <w:rsid w:val="005F17C0"/>
    <w:rsid w:val="005F1F0E"/>
    <w:rsid w:val="005F3267"/>
    <w:rsid w:val="005F59AB"/>
    <w:rsid w:val="005F7336"/>
    <w:rsid w:val="0060124D"/>
    <w:rsid w:val="006033D2"/>
    <w:rsid w:val="0060344B"/>
    <w:rsid w:val="006043A7"/>
    <w:rsid w:val="00607BA8"/>
    <w:rsid w:val="006110B5"/>
    <w:rsid w:val="006140C9"/>
    <w:rsid w:val="0062374A"/>
    <w:rsid w:val="006238B6"/>
    <w:rsid w:val="006257CC"/>
    <w:rsid w:val="00625924"/>
    <w:rsid w:val="00625CF0"/>
    <w:rsid w:val="00626064"/>
    <w:rsid w:val="0062718A"/>
    <w:rsid w:val="00635B2A"/>
    <w:rsid w:val="00635DA5"/>
    <w:rsid w:val="00636FCF"/>
    <w:rsid w:val="00637225"/>
    <w:rsid w:val="00641134"/>
    <w:rsid w:val="006413A6"/>
    <w:rsid w:val="00642CBA"/>
    <w:rsid w:val="00642E8E"/>
    <w:rsid w:val="00643F98"/>
    <w:rsid w:val="00644EE3"/>
    <w:rsid w:val="006500BE"/>
    <w:rsid w:val="00654EE1"/>
    <w:rsid w:val="00657573"/>
    <w:rsid w:val="00663EA1"/>
    <w:rsid w:val="00664658"/>
    <w:rsid w:val="0066639A"/>
    <w:rsid w:val="00670D01"/>
    <w:rsid w:val="006734AB"/>
    <w:rsid w:val="006739D4"/>
    <w:rsid w:val="00674CAA"/>
    <w:rsid w:val="0068085C"/>
    <w:rsid w:val="00681E2E"/>
    <w:rsid w:val="00681F5A"/>
    <w:rsid w:val="00682AC8"/>
    <w:rsid w:val="00684FEB"/>
    <w:rsid w:val="00686379"/>
    <w:rsid w:val="00686CC4"/>
    <w:rsid w:val="00687898"/>
    <w:rsid w:val="00691FA9"/>
    <w:rsid w:val="006927EA"/>
    <w:rsid w:val="0069292F"/>
    <w:rsid w:val="00693079"/>
    <w:rsid w:val="0069389C"/>
    <w:rsid w:val="006956B5"/>
    <w:rsid w:val="006A09A2"/>
    <w:rsid w:val="006A3468"/>
    <w:rsid w:val="006A6235"/>
    <w:rsid w:val="006A6C3E"/>
    <w:rsid w:val="006B0296"/>
    <w:rsid w:val="006B3A55"/>
    <w:rsid w:val="006B3C15"/>
    <w:rsid w:val="006B598A"/>
    <w:rsid w:val="006B73D9"/>
    <w:rsid w:val="006B76C4"/>
    <w:rsid w:val="006C1373"/>
    <w:rsid w:val="006C2118"/>
    <w:rsid w:val="006C52F5"/>
    <w:rsid w:val="006C597B"/>
    <w:rsid w:val="006C6EB7"/>
    <w:rsid w:val="006D1DDD"/>
    <w:rsid w:val="006D2D92"/>
    <w:rsid w:val="006D40F3"/>
    <w:rsid w:val="006E0D1A"/>
    <w:rsid w:val="006E179C"/>
    <w:rsid w:val="006E2AD4"/>
    <w:rsid w:val="006E4FB7"/>
    <w:rsid w:val="006F0567"/>
    <w:rsid w:val="006F2D9C"/>
    <w:rsid w:val="006F30DA"/>
    <w:rsid w:val="006F50A9"/>
    <w:rsid w:val="006F76DC"/>
    <w:rsid w:val="00700781"/>
    <w:rsid w:val="00702273"/>
    <w:rsid w:val="007042E0"/>
    <w:rsid w:val="00705022"/>
    <w:rsid w:val="00705410"/>
    <w:rsid w:val="00705722"/>
    <w:rsid w:val="00707461"/>
    <w:rsid w:val="00707C4F"/>
    <w:rsid w:val="007133A5"/>
    <w:rsid w:val="00713BBF"/>
    <w:rsid w:val="007158F3"/>
    <w:rsid w:val="00720EC8"/>
    <w:rsid w:val="007225EC"/>
    <w:rsid w:val="007227CC"/>
    <w:rsid w:val="007267B4"/>
    <w:rsid w:val="00727AB9"/>
    <w:rsid w:val="00731D0C"/>
    <w:rsid w:val="00732B61"/>
    <w:rsid w:val="0073567E"/>
    <w:rsid w:val="00741895"/>
    <w:rsid w:val="00743A2D"/>
    <w:rsid w:val="0074451B"/>
    <w:rsid w:val="0074483A"/>
    <w:rsid w:val="007478F4"/>
    <w:rsid w:val="007504CC"/>
    <w:rsid w:val="00752711"/>
    <w:rsid w:val="00754658"/>
    <w:rsid w:val="00754FCE"/>
    <w:rsid w:val="007559FD"/>
    <w:rsid w:val="007561EF"/>
    <w:rsid w:val="0075753B"/>
    <w:rsid w:val="00757D5A"/>
    <w:rsid w:val="007635CF"/>
    <w:rsid w:val="00771D4A"/>
    <w:rsid w:val="00776CBE"/>
    <w:rsid w:val="00777A36"/>
    <w:rsid w:val="007819AD"/>
    <w:rsid w:val="007821B0"/>
    <w:rsid w:val="00782FCD"/>
    <w:rsid w:val="00783399"/>
    <w:rsid w:val="00784EB3"/>
    <w:rsid w:val="007867AA"/>
    <w:rsid w:val="00786C32"/>
    <w:rsid w:val="007875A3"/>
    <w:rsid w:val="007915C3"/>
    <w:rsid w:val="00791ACF"/>
    <w:rsid w:val="00792719"/>
    <w:rsid w:val="0079694E"/>
    <w:rsid w:val="00796C3C"/>
    <w:rsid w:val="0079713F"/>
    <w:rsid w:val="007A0B52"/>
    <w:rsid w:val="007A0FD8"/>
    <w:rsid w:val="007A486D"/>
    <w:rsid w:val="007B06EA"/>
    <w:rsid w:val="007B417B"/>
    <w:rsid w:val="007B4AC0"/>
    <w:rsid w:val="007B5304"/>
    <w:rsid w:val="007B56B8"/>
    <w:rsid w:val="007B6528"/>
    <w:rsid w:val="007B77C9"/>
    <w:rsid w:val="007C5704"/>
    <w:rsid w:val="007C78A9"/>
    <w:rsid w:val="007C7930"/>
    <w:rsid w:val="007D3C2E"/>
    <w:rsid w:val="007E1EE9"/>
    <w:rsid w:val="007E4EE9"/>
    <w:rsid w:val="007E74BC"/>
    <w:rsid w:val="007F2DED"/>
    <w:rsid w:val="007F2F4B"/>
    <w:rsid w:val="007F6366"/>
    <w:rsid w:val="00800691"/>
    <w:rsid w:val="00801451"/>
    <w:rsid w:val="00803827"/>
    <w:rsid w:val="008043C6"/>
    <w:rsid w:val="00804414"/>
    <w:rsid w:val="00805928"/>
    <w:rsid w:val="00806B6E"/>
    <w:rsid w:val="008107BD"/>
    <w:rsid w:val="00810F7A"/>
    <w:rsid w:val="00811D42"/>
    <w:rsid w:val="00813F7E"/>
    <w:rsid w:val="008158D1"/>
    <w:rsid w:val="00816EA9"/>
    <w:rsid w:val="00824CB1"/>
    <w:rsid w:val="00827038"/>
    <w:rsid w:val="0082781C"/>
    <w:rsid w:val="0083540C"/>
    <w:rsid w:val="00837839"/>
    <w:rsid w:val="0084041A"/>
    <w:rsid w:val="008448DC"/>
    <w:rsid w:val="008475A8"/>
    <w:rsid w:val="00850E06"/>
    <w:rsid w:val="00851E9E"/>
    <w:rsid w:val="00861863"/>
    <w:rsid w:val="00862278"/>
    <w:rsid w:val="00862D82"/>
    <w:rsid w:val="0086454F"/>
    <w:rsid w:val="00865667"/>
    <w:rsid w:val="008673F9"/>
    <w:rsid w:val="00870E5E"/>
    <w:rsid w:val="00872B06"/>
    <w:rsid w:val="008756BF"/>
    <w:rsid w:val="0087632D"/>
    <w:rsid w:val="00876F60"/>
    <w:rsid w:val="00886689"/>
    <w:rsid w:val="00887DE2"/>
    <w:rsid w:val="00891FE9"/>
    <w:rsid w:val="00895780"/>
    <w:rsid w:val="008960DD"/>
    <w:rsid w:val="00897A6C"/>
    <w:rsid w:val="008A41DD"/>
    <w:rsid w:val="008A461D"/>
    <w:rsid w:val="008A4E9C"/>
    <w:rsid w:val="008A50CC"/>
    <w:rsid w:val="008B14CA"/>
    <w:rsid w:val="008B1DB4"/>
    <w:rsid w:val="008B33C1"/>
    <w:rsid w:val="008B415E"/>
    <w:rsid w:val="008C0141"/>
    <w:rsid w:val="008C0561"/>
    <w:rsid w:val="008C0AD6"/>
    <w:rsid w:val="008C1884"/>
    <w:rsid w:val="008C57F6"/>
    <w:rsid w:val="008C735B"/>
    <w:rsid w:val="008D12A7"/>
    <w:rsid w:val="008D32E3"/>
    <w:rsid w:val="008D3BE1"/>
    <w:rsid w:val="008D48B3"/>
    <w:rsid w:val="008D51BB"/>
    <w:rsid w:val="008E0186"/>
    <w:rsid w:val="008E09C7"/>
    <w:rsid w:val="008E33EB"/>
    <w:rsid w:val="008E5109"/>
    <w:rsid w:val="008E7AC9"/>
    <w:rsid w:val="008F0C47"/>
    <w:rsid w:val="008F11B7"/>
    <w:rsid w:val="00900CA5"/>
    <w:rsid w:val="009017D9"/>
    <w:rsid w:val="00903B5C"/>
    <w:rsid w:val="0090591E"/>
    <w:rsid w:val="009111E0"/>
    <w:rsid w:val="009111ED"/>
    <w:rsid w:val="0091273E"/>
    <w:rsid w:val="00912EEA"/>
    <w:rsid w:val="00917CAA"/>
    <w:rsid w:val="009203D8"/>
    <w:rsid w:val="00935DF9"/>
    <w:rsid w:val="009403BC"/>
    <w:rsid w:val="00941D75"/>
    <w:rsid w:val="00942D31"/>
    <w:rsid w:val="0094543C"/>
    <w:rsid w:val="0095101A"/>
    <w:rsid w:val="0095134E"/>
    <w:rsid w:val="0095289C"/>
    <w:rsid w:val="00953E90"/>
    <w:rsid w:val="00954DA0"/>
    <w:rsid w:val="00956AAF"/>
    <w:rsid w:val="009612D3"/>
    <w:rsid w:val="00962872"/>
    <w:rsid w:val="00963698"/>
    <w:rsid w:val="00965071"/>
    <w:rsid w:val="0096619E"/>
    <w:rsid w:val="0097246D"/>
    <w:rsid w:val="0097266A"/>
    <w:rsid w:val="0097342D"/>
    <w:rsid w:val="00974896"/>
    <w:rsid w:val="0097573E"/>
    <w:rsid w:val="0097690B"/>
    <w:rsid w:val="00976C51"/>
    <w:rsid w:val="009779EC"/>
    <w:rsid w:val="009820E8"/>
    <w:rsid w:val="00982E35"/>
    <w:rsid w:val="009830D4"/>
    <w:rsid w:val="009842B6"/>
    <w:rsid w:val="00984E45"/>
    <w:rsid w:val="00986263"/>
    <w:rsid w:val="009869A5"/>
    <w:rsid w:val="00987453"/>
    <w:rsid w:val="009915A3"/>
    <w:rsid w:val="009924B3"/>
    <w:rsid w:val="009949FC"/>
    <w:rsid w:val="009A02E0"/>
    <w:rsid w:val="009A0BEB"/>
    <w:rsid w:val="009A15B8"/>
    <w:rsid w:val="009A3407"/>
    <w:rsid w:val="009A4088"/>
    <w:rsid w:val="009A7C2F"/>
    <w:rsid w:val="009B2DE9"/>
    <w:rsid w:val="009B357D"/>
    <w:rsid w:val="009B56CF"/>
    <w:rsid w:val="009B57D6"/>
    <w:rsid w:val="009B59D7"/>
    <w:rsid w:val="009B6DF1"/>
    <w:rsid w:val="009C1B44"/>
    <w:rsid w:val="009C20CC"/>
    <w:rsid w:val="009C2848"/>
    <w:rsid w:val="009C36CF"/>
    <w:rsid w:val="009C6653"/>
    <w:rsid w:val="009C704C"/>
    <w:rsid w:val="009C791E"/>
    <w:rsid w:val="009D0C73"/>
    <w:rsid w:val="009D1D9A"/>
    <w:rsid w:val="009D4013"/>
    <w:rsid w:val="009D7FD4"/>
    <w:rsid w:val="009E0600"/>
    <w:rsid w:val="009E2067"/>
    <w:rsid w:val="009E22BA"/>
    <w:rsid w:val="009E41B2"/>
    <w:rsid w:val="009E4B13"/>
    <w:rsid w:val="009E51C5"/>
    <w:rsid w:val="009E5A29"/>
    <w:rsid w:val="009E5D0A"/>
    <w:rsid w:val="009E62AF"/>
    <w:rsid w:val="009F1B42"/>
    <w:rsid w:val="009F2A2F"/>
    <w:rsid w:val="009F2C0A"/>
    <w:rsid w:val="00A00AED"/>
    <w:rsid w:val="00A01D28"/>
    <w:rsid w:val="00A02499"/>
    <w:rsid w:val="00A02F5A"/>
    <w:rsid w:val="00A05230"/>
    <w:rsid w:val="00A05C22"/>
    <w:rsid w:val="00A0635C"/>
    <w:rsid w:val="00A0676B"/>
    <w:rsid w:val="00A06A9D"/>
    <w:rsid w:val="00A16E91"/>
    <w:rsid w:val="00A17C56"/>
    <w:rsid w:val="00A20B49"/>
    <w:rsid w:val="00A21B9B"/>
    <w:rsid w:val="00A22C85"/>
    <w:rsid w:val="00A258F0"/>
    <w:rsid w:val="00A25DD0"/>
    <w:rsid w:val="00A268DE"/>
    <w:rsid w:val="00A27CFD"/>
    <w:rsid w:val="00A30ADA"/>
    <w:rsid w:val="00A30CDD"/>
    <w:rsid w:val="00A32C56"/>
    <w:rsid w:val="00A3567B"/>
    <w:rsid w:val="00A358B8"/>
    <w:rsid w:val="00A365AB"/>
    <w:rsid w:val="00A379F9"/>
    <w:rsid w:val="00A45987"/>
    <w:rsid w:val="00A4603B"/>
    <w:rsid w:val="00A476BA"/>
    <w:rsid w:val="00A50E03"/>
    <w:rsid w:val="00A563E0"/>
    <w:rsid w:val="00A56892"/>
    <w:rsid w:val="00A56E5B"/>
    <w:rsid w:val="00A64486"/>
    <w:rsid w:val="00A655FE"/>
    <w:rsid w:val="00A73999"/>
    <w:rsid w:val="00A740EF"/>
    <w:rsid w:val="00A76671"/>
    <w:rsid w:val="00A83784"/>
    <w:rsid w:val="00A85849"/>
    <w:rsid w:val="00A90F90"/>
    <w:rsid w:val="00A91427"/>
    <w:rsid w:val="00A93EED"/>
    <w:rsid w:val="00A9547A"/>
    <w:rsid w:val="00A96731"/>
    <w:rsid w:val="00A96C59"/>
    <w:rsid w:val="00AA0323"/>
    <w:rsid w:val="00AA1711"/>
    <w:rsid w:val="00AA53AA"/>
    <w:rsid w:val="00AA6123"/>
    <w:rsid w:val="00AA6203"/>
    <w:rsid w:val="00AA6662"/>
    <w:rsid w:val="00AA73ED"/>
    <w:rsid w:val="00AB3E52"/>
    <w:rsid w:val="00AB4C78"/>
    <w:rsid w:val="00AC37A6"/>
    <w:rsid w:val="00AC603A"/>
    <w:rsid w:val="00AC6A97"/>
    <w:rsid w:val="00AC700F"/>
    <w:rsid w:val="00AD0659"/>
    <w:rsid w:val="00AD0944"/>
    <w:rsid w:val="00AD10A2"/>
    <w:rsid w:val="00AD2356"/>
    <w:rsid w:val="00AD2E28"/>
    <w:rsid w:val="00AD3290"/>
    <w:rsid w:val="00AF087C"/>
    <w:rsid w:val="00AF089D"/>
    <w:rsid w:val="00AF1A17"/>
    <w:rsid w:val="00AF299E"/>
    <w:rsid w:val="00AF5A5F"/>
    <w:rsid w:val="00AF6DFE"/>
    <w:rsid w:val="00AF74B0"/>
    <w:rsid w:val="00B01605"/>
    <w:rsid w:val="00B0179C"/>
    <w:rsid w:val="00B02785"/>
    <w:rsid w:val="00B06091"/>
    <w:rsid w:val="00B104C0"/>
    <w:rsid w:val="00B12FC3"/>
    <w:rsid w:val="00B13096"/>
    <w:rsid w:val="00B158CE"/>
    <w:rsid w:val="00B15C58"/>
    <w:rsid w:val="00B15CD8"/>
    <w:rsid w:val="00B17329"/>
    <w:rsid w:val="00B22392"/>
    <w:rsid w:val="00B237A3"/>
    <w:rsid w:val="00B25481"/>
    <w:rsid w:val="00B2749F"/>
    <w:rsid w:val="00B277A6"/>
    <w:rsid w:val="00B33209"/>
    <w:rsid w:val="00B33383"/>
    <w:rsid w:val="00B372F2"/>
    <w:rsid w:val="00B41A56"/>
    <w:rsid w:val="00B42A45"/>
    <w:rsid w:val="00B440A5"/>
    <w:rsid w:val="00B46ACF"/>
    <w:rsid w:val="00B51A86"/>
    <w:rsid w:val="00B51E9A"/>
    <w:rsid w:val="00B525E1"/>
    <w:rsid w:val="00B53EEA"/>
    <w:rsid w:val="00B55821"/>
    <w:rsid w:val="00B608F6"/>
    <w:rsid w:val="00B60ED3"/>
    <w:rsid w:val="00B63617"/>
    <w:rsid w:val="00B64DB5"/>
    <w:rsid w:val="00B65D78"/>
    <w:rsid w:val="00B70ED9"/>
    <w:rsid w:val="00B72B03"/>
    <w:rsid w:val="00B75AA4"/>
    <w:rsid w:val="00B81017"/>
    <w:rsid w:val="00B8533C"/>
    <w:rsid w:val="00B866F8"/>
    <w:rsid w:val="00B877CD"/>
    <w:rsid w:val="00B87ECF"/>
    <w:rsid w:val="00B90512"/>
    <w:rsid w:val="00B93A70"/>
    <w:rsid w:val="00BA721F"/>
    <w:rsid w:val="00BA74CE"/>
    <w:rsid w:val="00BA7C40"/>
    <w:rsid w:val="00BB0BD8"/>
    <w:rsid w:val="00BB4832"/>
    <w:rsid w:val="00BB59DD"/>
    <w:rsid w:val="00BC2F2E"/>
    <w:rsid w:val="00BC58E3"/>
    <w:rsid w:val="00BC5A6B"/>
    <w:rsid w:val="00BD0275"/>
    <w:rsid w:val="00BD6AA8"/>
    <w:rsid w:val="00BE2F77"/>
    <w:rsid w:val="00BE3410"/>
    <w:rsid w:val="00BE343E"/>
    <w:rsid w:val="00BE3C10"/>
    <w:rsid w:val="00BE47A3"/>
    <w:rsid w:val="00BF2154"/>
    <w:rsid w:val="00BF3D17"/>
    <w:rsid w:val="00BF629C"/>
    <w:rsid w:val="00C00657"/>
    <w:rsid w:val="00C01AB8"/>
    <w:rsid w:val="00C03B17"/>
    <w:rsid w:val="00C03C2A"/>
    <w:rsid w:val="00C05615"/>
    <w:rsid w:val="00C05D91"/>
    <w:rsid w:val="00C06FF7"/>
    <w:rsid w:val="00C1181D"/>
    <w:rsid w:val="00C13280"/>
    <w:rsid w:val="00C13D89"/>
    <w:rsid w:val="00C13E32"/>
    <w:rsid w:val="00C14D3F"/>
    <w:rsid w:val="00C14FDD"/>
    <w:rsid w:val="00C17AE7"/>
    <w:rsid w:val="00C27657"/>
    <w:rsid w:val="00C30183"/>
    <w:rsid w:val="00C31243"/>
    <w:rsid w:val="00C3300C"/>
    <w:rsid w:val="00C33029"/>
    <w:rsid w:val="00C338EA"/>
    <w:rsid w:val="00C33B85"/>
    <w:rsid w:val="00C35C45"/>
    <w:rsid w:val="00C36814"/>
    <w:rsid w:val="00C37795"/>
    <w:rsid w:val="00C40539"/>
    <w:rsid w:val="00C4214E"/>
    <w:rsid w:val="00C4283D"/>
    <w:rsid w:val="00C50284"/>
    <w:rsid w:val="00C525BF"/>
    <w:rsid w:val="00C550F8"/>
    <w:rsid w:val="00C560C2"/>
    <w:rsid w:val="00C57ABB"/>
    <w:rsid w:val="00C57B3C"/>
    <w:rsid w:val="00C60E30"/>
    <w:rsid w:val="00C62140"/>
    <w:rsid w:val="00C63682"/>
    <w:rsid w:val="00C64864"/>
    <w:rsid w:val="00C67EB8"/>
    <w:rsid w:val="00C70622"/>
    <w:rsid w:val="00C70ECB"/>
    <w:rsid w:val="00C718E8"/>
    <w:rsid w:val="00C726F9"/>
    <w:rsid w:val="00C738CA"/>
    <w:rsid w:val="00C766F3"/>
    <w:rsid w:val="00C806C1"/>
    <w:rsid w:val="00C84EAD"/>
    <w:rsid w:val="00C878E4"/>
    <w:rsid w:val="00C91323"/>
    <w:rsid w:val="00CA006F"/>
    <w:rsid w:val="00CA11AC"/>
    <w:rsid w:val="00CA408B"/>
    <w:rsid w:val="00CA66DB"/>
    <w:rsid w:val="00CA7BDA"/>
    <w:rsid w:val="00CB5812"/>
    <w:rsid w:val="00CB5DE3"/>
    <w:rsid w:val="00CB7350"/>
    <w:rsid w:val="00CC1BA9"/>
    <w:rsid w:val="00CC2E77"/>
    <w:rsid w:val="00CC38B9"/>
    <w:rsid w:val="00CC4F7C"/>
    <w:rsid w:val="00CD01C2"/>
    <w:rsid w:val="00CD1574"/>
    <w:rsid w:val="00CD4AF4"/>
    <w:rsid w:val="00CD6B55"/>
    <w:rsid w:val="00CD7D5D"/>
    <w:rsid w:val="00CE5822"/>
    <w:rsid w:val="00CE692D"/>
    <w:rsid w:val="00CE7920"/>
    <w:rsid w:val="00CF160B"/>
    <w:rsid w:val="00CF24E9"/>
    <w:rsid w:val="00CF7DB9"/>
    <w:rsid w:val="00D00F17"/>
    <w:rsid w:val="00D04118"/>
    <w:rsid w:val="00D049C9"/>
    <w:rsid w:val="00D0589C"/>
    <w:rsid w:val="00D05C8D"/>
    <w:rsid w:val="00D06D3D"/>
    <w:rsid w:val="00D116D6"/>
    <w:rsid w:val="00D1352E"/>
    <w:rsid w:val="00D14EE3"/>
    <w:rsid w:val="00D16FDD"/>
    <w:rsid w:val="00D20A9B"/>
    <w:rsid w:val="00D2277C"/>
    <w:rsid w:val="00D23145"/>
    <w:rsid w:val="00D23E26"/>
    <w:rsid w:val="00D251C2"/>
    <w:rsid w:val="00D25474"/>
    <w:rsid w:val="00D312CB"/>
    <w:rsid w:val="00D316DA"/>
    <w:rsid w:val="00D31C2A"/>
    <w:rsid w:val="00D322AB"/>
    <w:rsid w:val="00D32F51"/>
    <w:rsid w:val="00D33D78"/>
    <w:rsid w:val="00D35813"/>
    <w:rsid w:val="00D3679E"/>
    <w:rsid w:val="00D37062"/>
    <w:rsid w:val="00D403BF"/>
    <w:rsid w:val="00D40784"/>
    <w:rsid w:val="00D524B7"/>
    <w:rsid w:val="00D54CB4"/>
    <w:rsid w:val="00D5567F"/>
    <w:rsid w:val="00D577BA"/>
    <w:rsid w:val="00D64B06"/>
    <w:rsid w:val="00D72695"/>
    <w:rsid w:val="00D752CA"/>
    <w:rsid w:val="00D758AE"/>
    <w:rsid w:val="00D85CA5"/>
    <w:rsid w:val="00D87869"/>
    <w:rsid w:val="00D92367"/>
    <w:rsid w:val="00D9283C"/>
    <w:rsid w:val="00D9320A"/>
    <w:rsid w:val="00D94C4D"/>
    <w:rsid w:val="00D95B09"/>
    <w:rsid w:val="00D9651F"/>
    <w:rsid w:val="00D9711D"/>
    <w:rsid w:val="00DA335E"/>
    <w:rsid w:val="00DA49FE"/>
    <w:rsid w:val="00DA554F"/>
    <w:rsid w:val="00DA6B2E"/>
    <w:rsid w:val="00DA6D9B"/>
    <w:rsid w:val="00DA7947"/>
    <w:rsid w:val="00DB406A"/>
    <w:rsid w:val="00DB6243"/>
    <w:rsid w:val="00DB7159"/>
    <w:rsid w:val="00DB7AA0"/>
    <w:rsid w:val="00DB7AF5"/>
    <w:rsid w:val="00DC0003"/>
    <w:rsid w:val="00DC3789"/>
    <w:rsid w:val="00DC58D1"/>
    <w:rsid w:val="00DC79E1"/>
    <w:rsid w:val="00DD46CE"/>
    <w:rsid w:val="00DD51CA"/>
    <w:rsid w:val="00DD5D3C"/>
    <w:rsid w:val="00DD6B55"/>
    <w:rsid w:val="00DE0567"/>
    <w:rsid w:val="00DE1816"/>
    <w:rsid w:val="00DE24B7"/>
    <w:rsid w:val="00DE3AC8"/>
    <w:rsid w:val="00DE4C84"/>
    <w:rsid w:val="00DE4E5A"/>
    <w:rsid w:val="00DE6616"/>
    <w:rsid w:val="00DF04DD"/>
    <w:rsid w:val="00DF439E"/>
    <w:rsid w:val="00DF5141"/>
    <w:rsid w:val="00E1228A"/>
    <w:rsid w:val="00E143E2"/>
    <w:rsid w:val="00E15510"/>
    <w:rsid w:val="00E17AE1"/>
    <w:rsid w:val="00E232D7"/>
    <w:rsid w:val="00E257BA"/>
    <w:rsid w:val="00E30058"/>
    <w:rsid w:val="00E306F6"/>
    <w:rsid w:val="00E31F75"/>
    <w:rsid w:val="00E34307"/>
    <w:rsid w:val="00E36C6E"/>
    <w:rsid w:val="00E43441"/>
    <w:rsid w:val="00E44770"/>
    <w:rsid w:val="00E47EC0"/>
    <w:rsid w:val="00E52C62"/>
    <w:rsid w:val="00E54360"/>
    <w:rsid w:val="00E5442E"/>
    <w:rsid w:val="00E54843"/>
    <w:rsid w:val="00E55175"/>
    <w:rsid w:val="00E55E8D"/>
    <w:rsid w:val="00E610D8"/>
    <w:rsid w:val="00E61C7F"/>
    <w:rsid w:val="00E73662"/>
    <w:rsid w:val="00E7376C"/>
    <w:rsid w:val="00E738A4"/>
    <w:rsid w:val="00E752E8"/>
    <w:rsid w:val="00E75CE8"/>
    <w:rsid w:val="00E7625A"/>
    <w:rsid w:val="00E77123"/>
    <w:rsid w:val="00E823A4"/>
    <w:rsid w:val="00E82BB3"/>
    <w:rsid w:val="00E844B1"/>
    <w:rsid w:val="00E86B83"/>
    <w:rsid w:val="00E87A3D"/>
    <w:rsid w:val="00E87AF9"/>
    <w:rsid w:val="00E94101"/>
    <w:rsid w:val="00E961D0"/>
    <w:rsid w:val="00EA225D"/>
    <w:rsid w:val="00EA3876"/>
    <w:rsid w:val="00EA4404"/>
    <w:rsid w:val="00EA5149"/>
    <w:rsid w:val="00EA58DD"/>
    <w:rsid w:val="00EA67DA"/>
    <w:rsid w:val="00EA70E6"/>
    <w:rsid w:val="00EA75D9"/>
    <w:rsid w:val="00EB0F8F"/>
    <w:rsid w:val="00EB354D"/>
    <w:rsid w:val="00EB47D7"/>
    <w:rsid w:val="00EB6DFC"/>
    <w:rsid w:val="00EB7A9C"/>
    <w:rsid w:val="00EC1D5A"/>
    <w:rsid w:val="00EC220D"/>
    <w:rsid w:val="00EC2A1B"/>
    <w:rsid w:val="00EC71EF"/>
    <w:rsid w:val="00EC7D35"/>
    <w:rsid w:val="00ED0318"/>
    <w:rsid w:val="00ED0BC7"/>
    <w:rsid w:val="00ED3471"/>
    <w:rsid w:val="00ED4F4B"/>
    <w:rsid w:val="00ED5083"/>
    <w:rsid w:val="00EE0404"/>
    <w:rsid w:val="00EE041F"/>
    <w:rsid w:val="00EF4320"/>
    <w:rsid w:val="00EF43E5"/>
    <w:rsid w:val="00EF477F"/>
    <w:rsid w:val="00EF4918"/>
    <w:rsid w:val="00EF6C0A"/>
    <w:rsid w:val="00EF6E14"/>
    <w:rsid w:val="00EF7FD6"/>
    <w:rsid w:val="00F007AB"/>
    <w:rsid w:val="00F02CE0"/>
    <w:rsid w:val="00F0525D"/>
    <w:rsid w:val="00F06700"/>
    <w:rsid w:val="00F06D7D"/>
    <w:rsid w:val="00F15994"/>
    <w:rsid w:val="00F15BAF"/>
    <w:rsid w:val="00F15C86"/>
    <w:rsid w:val="00F16AB9"/>
    <w:rsid w:val="00F22872"/>
    <w:rsid w:val="00F23B24"/>
    <w:rsid w:val="00F275D8"/>
    <w:rsid w:val="00F27B37"/>
    <w:rsid w:val="00F27CCC"/>
    <w:rsid w:val="00F32597"/>
    <w:rsid w:val="00F33A08"/>
    <w:rsid w:val="00F34618"/>
    <w:rsid w:val="00F374E5"/>
    <w:rsid w:val="00F37C83"/>
    <w:rsid w:val="00F43629"/>
    <w:rsid w:val="00F43D57"/>
    <w:rsid w:val="00F43FC8"/>
    <w:rsid w:val="00F45BC8"/>
    <w:rsid w:val="00F46E2E"/>
    <w:rsid w:val="00F470E9"/>
    <w:rsid w:val="00F527A0"/>
    <w:rsid w:val="00F52F15"/>
    <w:rsid w:val="00F555C1"/>
    <w:rsid w:val="00F602C4"/>
    <w:rsid w:val="00F61CFC"/>
    <w:rsid w:val="00F61F32"/>
    <w:rsid w:val="00F63ADF"/>
    <w:rsid w:val="00F65E03"/>
    <w:rsid w:val="00F66E97"/>
    <w:rsid w:val="00F703DF"/>
    <w:rsid w:val="00F70FA7"/>
    <w:rsid w:val="00F82988"/>
    <w:rsid w:val="00F833F2"/>
    <w:rsid w:val="00F85FEA"/>
    <w:rsid w:val="00F87CA1"/>
    <w:rsid w:val="00F91306"/>
    <w:rsid w:val="00F91E96"/>
    <w:rsid w:val="00F93EC4"/>
    <w:rsid w:val="00F94735"/>
    <w:rsid w:val="00F94944"/>
    <w:rsid w:val="00F94CA4"/>
    <w:rsid w:val="00F960C4"/>
    <w:rsid w:val="00F96E4A"/>
    <w:rsid w:val="00FA11B1"/>
    <w:rsid w:val="00FA30EC"/>
    <w:rsid w:val="00FA4B33"/>
    <w:rsid w:val="00FA6F18"/>
    <w:rsid w:val="00FB0E19"/>
    <w:rsid w:val="00FB16FB"/>
    <w:rsid w:val="00FB2573"/>
    <w:rsid w:val="00FB37AA"/>
    <w:rsid w:val="00FB7F89"/>
    <w:rsid w:val="00FC2C6C"/>
    <w:rsid w:val="00FC3AAD"/>
    <w:rsid w:val="00FC4CA4"/>
    <w:rsid w:val="00FD3CBE"/>
    <w:rsid w:val="00FD7D27"/>
    <w:rsid w:val="00FE424F"/>
    <w:rsid w:val="00FE4E27"/>
    <w:rsid w:val="00FE5E40"/>
    <w:rsid w:val="00FE6BEA"/>
    <w:rsid w:val="00FF08BF"/>
    <w:rsid w:val="00FF1198"/>
    <w:rsid w:val="00FF4174"/>
    <w:rsid w:val="00FF7B6A"/>
    <w:rsid w:val="03460CD9"/>
    <w:rsid w:val="06E75409"/>
    <w:rsid w:val="073B51B7"/>
    <w:rsid w:val="0797103D"/>
    <w:rsid w:val="09ED1D0C"/>
    <w:rsid w:val="0C7327EB"/>
    <w:rsid w:val="0C8063E7"/>
    <w:rsid w:val="0C9F7A36"/>
    <w:rsid w:val="0CAC517A"/>
    <w:rsid w:val="0DB03D55"/>
    <w:rsid w:val="0EB86E27"/>
    <w:rsid w:val="10F93F06"/>
    <w:rsid w:val="15B80698"/>
    <w:rsid w:val="16C81E38"/>
    <w:rsid w:val="172F2F59"/>
    <w:rsid w:val="179D1EDB"/>
    <w:rsid w:val="19073D1E"/>
    <w:rsid w:val="1A670EA9"/>
    <w:rsid w:val="1A9637AF"/>
    <w:rsid w:val="1BDE13C1"/>
    <w:rsid w:val="1CE47554"/>
    <w:rsid w:val="1CF90154"/>
    <w:rsid w:val="208D2895"/>
    <w:rsid w:val="220B6B38"/>
    <w:rsid w:val="25C82A4C"/>
    <w:rsid w:val="267B7BFA"/>
    <w:rsid w:val="27DD2B84"/>
    <w:rsid w:val="299D49F4"/>
    <w:rsid w:val="29C23C24"/>
    <w:rsid w:val="2C9456EE"/>
    <w:rsid w:val="2D00084B"/>
    <w:rsid w:val="2DA26642"/>
    <w:rsid w:val="2F172B1B"/>
    <w:rsid w:val="2F817BE3"/>
    <w:rsid w:val="30355826"/>
    <w:rsid w:val="325E2F6A"/>
    <w:rsid w:val="33375694"/>
    <w:rsid w:val="339802E0"/>
    <w:rsid w:val="342A6B27"/>
    <w:rsid w:val="36232246"/>
    <w:rsid w:val="37FF69FD"/>
    <w:rsid w:val="384D221C"/>
    <w:rsid w:val="388131BD"/>
    <w:rsid w:val="38FF0311"/>
    <w:rsid w:val="394D4F22"/>
    <w:rsid w:val="3AE85EBF"/>
    <w:rsid w:val="3B231DB6"/>
    <w:rsid w:val="3DD07A46"/>
    <w:rsid w:val="3F962922"/>
    <w:rsid w:val="40BA528A"/>
    <w:rsid w:val="40CB1AAC"/>
    <w:rsid w:val="41C77FE8"/>
    <w:rsid w:val="44122E34"/>
    <w:rsid w:val="45F762BD"/>
    <w:rsid w:val="4AB560CE"/>
    <w:rsid w:val="4E080B51"/>
    <w:rsid w:val="4F7C6051"/>
    <w:rsid w:val="50CB1798"/>
    <w:rsid w:val="513D70DA"/>
    <w:rsid w:val="52634A96"/>
    <w:rsid w:val="57E827C9"/>
    <w:rsid w:val="59797469"/>
    <w:rsid w:val="598072CA"/>
    <w:rsid w:val="5CB069F1"/>
    <w:rsid w:val="5E465936"/>
    <w:rsid w:val="5EBC12FA"/>
    <w:rsid w:val="5F961379"/>
    <w:rsid w:val="5FB80705"/>
    <w:rsid w:val="603A41BB"/>
    <w:rsid w:val="612F3F66"/>
    <w:rsid w:val="66DE0B02"/>
    <w:rsid w:val="672913EA"/>
    <w:rsid w:val="679F325F"/>
    <w:rsid w:val="6A475D4D"/>
    <w:rsid w:val="6AEF312F"/>
    <w:rsid w:val="6BB67446"/>
    <w:rsid w:val="6C1F0271"/>
    <w:rsid w:val="6ED274D6"/>
    <w:rsid w:val="6EE72672"/>
    <w:rsid w:val="70447E3C"/>
    <w:rsid w:val="715603A1"/>
    <w:rsid w:val="719A4CC7"/>
    <w:rsid w:val="72AE00E5"/>
    <w:rsid w:val="72E8428C"/>
    <w:rsid w:val="731A1328"/>
    <w:rsid w:val="73AD1F63"/>
    <w:rsid w:val="74180B9A"/>
    <w:rsid w:val="75BD6C28"/>
    <w:rsid w:val="75E8386D"/>
    <w:rsid w:val="767A4544"/>
    <w:rsid w:val="787248B0"/>
    <w:rsid w:val="78B37F37"/>
    <w:rsid w:val="79B32B63"/>
    <w:rsid w:val="7A0D7DD8"/>
    <w:rsid w:val="7C60038E"/>
    <w:rsid w:val="7F6762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sz w:val="24"/>
      <w:szCs w:val="24"/>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styleId="4">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Date"/>
    <w:basedOn w:val="1"/>
    <w:next w:val="1"/>
    <w:link w:val="23"/>
    <w:qFormat/>
    <w:uiPriority w:val="0"/>
    <w:pPr>
      <w:ind w:left="100" w:leftChars="2500"/>
    </w:pPr>
  </w:style>
  <w:style w:type="paragraph" w:styleId="6">
    <w:name w:val="Balloon Text"/>
    <w:basedOn w:val="1"/>
    <w:link w:val="26"/>
    <w:qFormat/>
    <w:uiPriority w:val="0"/>
    <w:rPr>
      <w:sz w:val="18"/>
      <w:szCs w:val="18"/>
    </w:rPr>
  </w:style>
  <w:style w:type="paragraph" w:styleId="7">
    <w:name w:val="footer"/>
    <w:basedOn w:val="1"/>
    <w:qFormat/>
    <w:uiPriority w:val="0"/>
    <w:pPr>
      <w:tabs>
        <w:tab w:val="center" w:pos="4153"/>
        <w:tab w:val="right" w:pos="8306"/>
      </w:tabs>
      <w:snapToGrid w:val="0"/>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99"/>
  </w:style>
  <w:style w:type="table" w:styleId="11">
    <w:name w:val="Table Grid"/>
    <w:basedOn w:val="10"/>
    <w:qFormat/>
    <w:uiPriority w:val="0"/>
    <w:rPr>
      <w:rFonts w:hint="eastAsia" w:ascii="宋体" w:cs="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op w:val="single" w:color="000000" w:sz="4" w:space="0"/>
        <w:left w:val="single" w:color="000000" w:sz="4" w:space="0"/>
        <w:bottom w:val="single" w:color="000000" w:sz="4" w:space="0"/>
        <w:right w:val="single" w:color="000000" w:sz="4" w:space="0"/>
      </w:tcBorders>
    </w:tcPr>
  </w:style>
  <w:style w:type="character" w:styleId="13">
    <w:name w:val="Strong"/>
    <w:basedOn w:val="12"/>
    <w:qFormat/>
    <w:uiPriority w:val="22"/>
    <w:rPr>
      <w:b/>
      <w:bCs/>
    </w:rPr>
  </w:style>
  <w:style w:type="character" w:styleId="14">
    <w:name w:val="Hyperlink"/>
    <w:basedOn w:val="12"/>
    <w:unhideWhenUsed/>
    <w:qFormat/>
    <w:uiPriority w:val="0"/>
    <w:rPr>
      <w:color w:val="0563C1" w:themeColor="hyperlink"/>
      <w:u w:val="single"/>
    </w:rPr>
  </w:style>
  <w:style w:type="character" w:styleId="15">
    <w:name w:val="footnote reference"/>
    <w:semiHidden/>
    <w:qFormat/>
    <w:uiPriority w:val="0"/>
    <w:rPr>
      <w:vertAlign w:val="superscript"/>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Lines="0" w:afterLines="0"/>
    </w:pPr>
    <w:rPr>
      <w:rFonts w:ascii="宋体" w:eastAsia="宋体"/>
    </w:rPr>
  </w:style>
  <w:style w:type="paragraph" w:customStyle="1" w:styleId="18">
    <w:name w:val="二级条标题"/>
    <w:basedOn w:val="19"/>
    <w:next w:val="16"/>
    <w:qFormat/>
    <w:uiPriority w:val="0"/>
    <w:pPr>
      <w:numPr>
        <w:ilvl w:val="2"/>
      </w:numPr>
      <w:spacing w:before="50" w:after="50"/>
      <w:outlineLvl w:val="3"/>
    </w:pPr>
  </w:style>
  <w:style w:type="paragraph" w:customStyle="1" w:styleId="19">
    <w:name w:val="一级条标题"/>
    <w:next w:val="16"/>
    <w:qFormat/>
    <w:uiPriority w:val="0"/>
    <w:pPr>
      <w:numPr>
        <w:ilvl w:val="1"/>
        <w:numId w:val="1"/>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20">
    <w:name w:val="一级无"/>
    <w:basedOn w:val="19"/>
    <w:qFormat/>
    <w:uiPriority w:val="0"/>
    <w:pPr>
      <w:spacing w:beforeLines="0" w:afterLines="0"/>
    </w:pPr>
    <w:rPr>
      <w:rFonts w:ascii="宋体" w:eastAsia="宋体"/>
    </w:rPr>
  </w:style>
  <w:style w:type="character" w:customStyle="1" w:styleId="21">
    <w:name w:val="段 Char"/>
    <w:basedOn w:val="12"/>
    <w:qFormat/>
    <w:uiPriority w:val="0"/>
    <w:rPr>
      <w:rFonts w:hint="eastAsia" w:ascii="宋体" w:hAnsi="宋体" w:eastAsia="宋体" w:cs="宋体"/>
      <w:sz w:val="21"/>
    </w:rPr>
  </w:style>
  <w:style w:type="paragraph" w:customStyle="1" w:styleId="22">
    <w:name w:val="字母编号列项（一级）"/>
    <w:basedOn w:val="1"/>
    <w:qFormat/>
    <w:uiPriority w:val="0"/>
    <w:pPr>
      <w:widowControl/>
      <w:numPr>
        <w:ilvl w:val="0"/>
        <w:numId w:val="2"/>
      </w:numPr>
      <w:jc w:val="both"/>
    </w:pPr>
    <w:rPr>
      <w:rFonts w:hint="eastAsia" w:ascii="宋体"/>
      <w:sz w:val="21"/>
      <w:szCs w:val="20"/>
      <w:lang w:eastAsia="zh-CN"/>
    </w:rPr>
  </w:style>
  <w:style w:type="character" w:customStyle="1" w:styleId="23">
    <w:name w:val="日期 字符"/>
    <w:basedOn w:val="12"/>
    <w:link w:val="5"/>
    <w:qFormat/>
    <w:uiPriority w:val="0"/>
    <w:rPr>
      <w:sz w:val="24"/>
      <w:szCs w:val="24"/>
      <w:lang w:eastAsia="en-US"/>
    </w:rPr>
  </w:style>
  <w:style w:type="paragraph" w:customStyle="1" w:styleId="24">
    <w:name w:val="注："/>
    <w:next w:val="16"/>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注×："/>
    <w:qFormat/>
    <w:uiPriority w:val="0"/>
    <w:pPr>
      <w:widowControl w:val="0"/>
      <w:autoSpaceDE w:val="0"/>
      <w:autoSpaceDN w:val="0"/>
      <w:jc w:val="both"/>
    </w:pPr>
    <w:rPr>
      <w:rFonts w:ascii="宋体" w:hAnsi="Times New Roman" w:eastAsia="宋体" w:cs="Times New Roman"/>
      <w:sz w:val="18"/>
      <w:szCs w:val="18"/>
      <w:lang w:val="en-US" w:eastAsia="zh-CN" w:bidi="ar-SA"/>
    </w:rPr>
  </w:style>
  <w:style w:type="character" w:customStyle="1" w:styleId="26">
    <w:name w:val="批注框文本 字符"/>
    <w:basedOn w:val="12"/>
    <w:link w:val="6"/>
    <w:qFormat/>
    <w:uiPriority w:val="0"/>
    <w:rPr>
      <w:sz w:val="18"/>
      <w:szCs w:val="18"/>
      <w:lang w:eastAsia="en-US"/>
    </w:rPr>
  </w:style>
  <w:style w:type="paragraph" w:customStyle="1" w:styleId="27">
    <w:name w:val="章标题"/>
    <w:next w:val="16"/>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三级条标题"/>
    <w:basedOn w:val="18"/>
    <w:next w:val="16"/>
    <w:qFormat/>
    <w:uiPriority w:val="0"/>
    <w:pPr>
      <w:numPr>
        <w:ilvl w:val="0"/>
        <w:numId w:val="0"/>
      </w:numPr>
      <w:outlineLvl w:val="4"/>
    </w:pPr>
  </w:style>
  <w:style w:type="paragraph" w:customStyle="1" w:styleId="29">
    <w:name w:val="四级条标题"/>
    <w:basedOn w:val="28"/>
    <w:next w:val="16"/>
    <w:qFormat/>
    <w:uiPriority w:val="0"/>
    <w:pPr>
      <w:outlineLvl w:val="5"/>
    </w:pPr>
  </w:style>
  <w:style w:type="paragraph" w:customStyle="1" w:styleId="30">
    <w:name w:val="五级条标题"/>
    <w:basedOn w:val="29"/>
    <w:next w:val="16"/>
    <w:qFormat/>
    <w:uiPriority w:val="0"/>
    <w:pPr>
      <w:outlineLvl w:val="6"/>
    </w:pPr>
  </w:style>
  <w:style w:type="paragraph" w:styleId="31">
    <w:name w:val="List Paragraph"/>
    <w:basedOn w:val="1"/>
    <w:unhideWhenUsed/>
    <w:qFormat/>
    <w:uiPriority w:val="34"/>
    <w:pPr>
      <w:ind w:firstLine="420" w:firstLineChars="200"/>
    </w:pPr>
  </w:style>
  <w:style w:type="paragraph" w:customStyle="1" w:styleId="32">
    <w:name w:val="正文表标题"/>
    <w:next w:val="16"/>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paragraph" w:customStyle="1" w:styleId="33">
    <w:name w:val="正文图标题"/>
    <w:next w:val="16"/>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4">
    <w:name w:val="其他发布日期"/>
    <w:basedOn w:val="1"/>
    <w:qFormat/>
    <w:uiPriority w:val="0"/>
    <w:pPr>
      <w:framePr w:w="3997" w:h="471" w:hRule="exact" w:vSpace="181" w:wrap="around" w:vAnchor="page" w:hAnchor="page" w:x="1419" w:y="14097" w:anchorLock="1"/>
      <w:widowControl/>
      <w:numPr>
        <w:ilvl w:val="0"/>
        <w:numId w:val="5"/>
      </w:numPr>
      <w:autoSpaceDE/>
      <w:autoSpaceDN/>
    </w:pPr>
    <w:rPr>
      <w:rFonts w:eastAsia="黑体"/>
      <w:sz w:val="28"/>
      <w:szCs w:val="20"/>
      <w:lang w:eastAsia="zh-CN"/>
    </w:rPr>
  </w:style>
  <w:style w:type="character" w:customStyle="1" w:styleId="35">
    <w:name w:val="未处理的提及1"/>
    <w:basedOn w:val="12"/>
    <w:semiHidden/>
    <w:unhideWhenUsed/>
    <w:qFormat/>
    <w:uiPriority w:val="99"/>
    <w:rPr>
      <w:color w:val="605E5C"/>
      <w:shd w:val="clear" w:color="auto" w:fill="E1DFDD"/>
    </w:rPr>
  </w:style>
  <w:style w:type="character" w:customStyle="1" w:styleId="36">
    <w:name w:val="bjh-p"/>
    <w:basedOn w:val="12"/>
    <w:qFormat/>
    <w:uiPriority w:val="0"/>
  </w:style>
  <w:style w:type="character" w:customStyle="1" w:styleId="37">
    <w:name w:val="Unresolved Mention"/>
    <w:basedOn w:val="12"/>
    <w:semiHidden/>
    <w:unhideWhenUsed/>
    <w:qFormat/>
    <w:uiPriority w:val="99"/>
    <w:rPr>
      <w:color w:val="605E5C"/>
      <w:shd w:val="clear" w:color="auto" w:fill="E1DFDD"/>
    </w:rPr>
  </w:style>
  <w:style w:type="paragraph" w:customStyle="1" w:styleId="38">
    <w:name w:val="标准文件_段"/>
    <w:qFormat/>
    <w:uiPriority w:val="0"/>
    <w:pPr>
      <w:ind w:firstLine="198" w:firstLineChars="200"/>
      <w:jc w:val="both"/>
    </w:pPr>
    <w:rPr>
      <w:rFonts w:ascii="宋体" w:hAnsi="Times New Roman" w:eastAsia="宋体" w:cstheme="minorBidi"/>
      <w:sz w:val="21"/>
      <w:lang w:val="en-US" w:eastAsia="zh-CN" w:bidi="ar-SA"/>
    </w:rPr>
  </w:style>
  <w:style w:type="paragraph" w:customStyle="1" w:styleId="39">
    <w:name w:val="标准文件_二级无标题"/>
    <w:basedOn w:val="40"/>
    <w:qFormat/>
    <w:uiPriority w:val="0"/>
    <w:pPr>
      <w:spacing w:beforeLines="0" w:afterLines="0"/>
      <w:outlineLvl w:val="9"/>
    </w:pPr>
    <w:rPr>
      <w:rFonts w:ascii="宋体" w:hAnsi="宋体" w:eastAsia="宋体"/>
      <w:kern w:val="2"/>
      <w:szCs w:val="22"/>
    </w:rPr>
  </w:style>
  <w:style w:type="paragraph" w:customStyle="1" w:styleId="40">
    <w:name w:val="标准文件_二级条标题"/>
    <w:next w:val="38"/>
    <w:qFormat/>
    <w:uiPriority w:val="0"/>
    <w:pPr>
      <w:numPr>
        <w:ilvl w:val="2"/>
        <w:numId w:val="6"/>
      </w:numPr>
      <w:spacing w:beforeLines="50" w:afterLines="50"/>
      <w:jc w:val="both"/>
      <w:outlineLvl w:val="2"/>
    </w:pPr>
    <w:rPr>
      <w:rFonts w:ascii="黑体" w:hAnsi="黑体" w:eastAsia="黑体" w:cstheme="minorBidi"/>
      <w:sz w:val="21"/>
      <w:lang w:val="en-US" w:eastAsia="zh-CN" w:bidi="ar-SA"/>
    </w:rPr>
  </w:style>
  <w:style w:type="paragraph" w:customStyle="1" w:styleId="41">
    <w:name w:val="标准文件_字母编号列项（一级）"/>
    <w:next w:val="38"/>
    <w:qFormat/>
    <w:uiPriority w:val="0"/>
    <w:pPr>
      <w:numPr>
        <w:ilvl w:val="0"/>
        <w:numId w:val="7"/>
      </w:numPr>
      <w:jc w:val="both"/>
    </w:pPr>
    <w:rPr>
      <w:rFonts w:ascii="宋体" w:hAnsi="Times New Roman" w:eastAsia="宋体" w:cstheme="minorBidi"/>
      <w:sz w:val="21"/>
      <w:lang w:val="en-US" w:eastAsia="zh-CN" w:bidi="ar-SA"/>
    </w:rPr>
  </w:style>
  <w:style w:type="paragraph" w:customStyle="1" w:styleId="42">
    <w:name w:val="标准文件_一级条标题"/>
    <w:next w:val="38"/>
    <w:qFormat/>
    <w:uiPriority w:val="0"/>
    <w:pPr>
      <w:spacing w:beforeLines="50" w:afterLines="50"/>
      <w:outlineLvl w:val="1"/>
    </w:pPr>
    <w:rPr>
      <w:rFonts w:ascii="Times New Roman" w:hAnsi="Times New Roman" w:eastAsia="宋体"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市质量技术监督局</Company>
  <Pages>13</Pages>
  <Words>944</Words>
  <Characters>5386</Characters>
  <Lines>44</Lines>
  <Paragraphs>12</Paragraphs>
  <TotalTime>12</TotalTime>
  <ScaleCrop>false</ScaleCrop>
  <LinksUpToDate>false</LinksUpToDate>
  <CharactersWithSpaces>6318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2021-12-14T09:22:00Z</dcterms:created>
  <dc:creator>Jeff-Z</dc:creator>
  <cp:lastModifiedBy>Administrator</cp:lastModifiedBy>
  <cp:lastPrinted>2024-04-25T10:29:00Z</cp:lastPrinted>
  <dcterms:modified xsi:type="dcterms:W3CDTF">2024-06-19T14:33:51Z</dcterms:modified>
  <cp:revision>542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58E2C60B6A4440A4911CC6E76CA0E142</vt:lpwstr>
  </property>
</Properties>
</file>